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C51AC">
      <w:pPr>
        <w:adjustRightInd w:val="0"/>
        <w:snapToGrid w:val="0"/>
        <w:spacing w:line="0" w:lineRule="atLeast"/>
        <w:jc w:val="center"/>
        <w:rPr>
          <w:color w:val="auto"/>
          <w:sz w:val="24"/>
          <w:szCs w:val="24"/>
          <w:highlight w:val="none"/>
        </w:rPr>
      </w:pPr>
      <w:r>
        <w:rPr>
          <w:rFonts w:ascii="方正小标宋简体" w:hAnsi="宋体"/>
          <w:color w:val="auto"/>
          <w:spacing w:val="20"/>
          <w:sz w:val="52"/>
          <w:szCs w:val="52"/>
          <w:highlight w:val="none"/>
        </w:rPr>
        <w:t xml:space="preserve"> </w:t>
      </w:r>
    </w:p>
    <w:p w14:paraId="0A1779BC">
      <w:pPr>
        <w:pStyle w:val="2"/>
        <w:jc w:val="right"/>
        <w:rPr>
          <w:rFonts w:hint="eastAsia" w:ascii="仿宋" w:hAnsi="仿宋" w:eastAsia="仿宋"/>
          <w:b/>
          <w:bCs/>
          <w:color w:val="auto"/>
          <w:sz w:val="28"/>
          <w:szCs w:val="28"/>
          <w:highlight w:val="none"/>
          <w:lang w:eastAsia="zh-CN"/>
        </w:rPr>
      </w:pPr>
      <w:r>
        <w:rPr>
          <w:rFonts w:hint="eastAsia" w:ascii="仿宋" w:hAnsi="仿宋" w:eastAsia="仿宋"/>
          <w:b/>
          <w:bCs/>
          <w:color w:val="auto"/>
          <w:sz w:val="28"/>
          <w:szCs w:val="28"/>
          <w:highlight w:val="none"/>
          <w:lang w:eastAsia="zh-CN"/>
        </w:rPr>
        <w:t>合同编号：***</w:t>
      </w:r>
    </w:p>
    <w:p w14:paraId="04FFCF97">
      <w:pPr>
        <w:rPr>
          <w:rFonts w:hint="eastAsia" w:ascii="仿宋" w:hAnsi="仿宋" w:eastAsia="仿宋"/>
          <w:color w:val="auto"/>
          <w:sz w:val="44"/>
          <w:szCs w:val="44"/>
          <w:highlight w:val="none"/>
          <w:lang w:eastAsia="zh-CN"/>
        </w:rPr>
      </w:pPr>
    </w:p>
    <w:p w14:paraId="56EC3BC0">
      <w:pPr>
        <w:rPr>
          <w:rFonts w:hint="eastAsia" w:ascii="仿宋" w:hAnsi="仿宋" w:eastAsia="仿宋"/>
          <w:color w:val="auto"/>
          <w:sz w:val="44"/>
          <w:szCs w:val="44"/>
          <w:highlight w:val="none"/>
          <w:lang w:eastAsia="zh-CN"/>
        </w:rPr>
      </w:pPr>
    </w:p>
    <w:p w14:paraId="509E4EB4">
      <w:pPr>
        <w:pStyle w:val="2"/>
        <w:rPr>
          <w:rFonts w:hint="eastAsia" w:ascii="仿宋" w:hAnsi="仿宋" w:eastAsia="仿宋"/>
          <w:color w:val="auto"/>
          <w:sz w:val="44"/>
          <w:szCs w:val="44"/>
          <w:highlight w:val="none"/>
          <w:lang w:eastAsia="zh-CN"/>
        </w:rPr>
      </w:pPr>
    </w:p>
    <w:p w14:paraId="205F57A3">
      <w:pPr>
        <w:pStyle w:val="2"/>
        <w:rPr>
          <w:rFonts w:hint="eastAsia"/>
          <w:color w:val="auto"/>
          <w:highlight w:val="none"/>
          <w:lang w:eastAsia="zh-CN"/>
        </w:rPr>
      </w:pPr>
    </w:p>
    <w:p w14:paraId="2D9D32F9">
      <w:pPr>
        <w:jc w:val="center"/>
        <w:rPr>
          <w:rFonts w:hint="eastAsia" w:ascii="仿宋" w:hAnsi="仿宋" w:eastAsia="仿宋"/>
          <w:b/>
          <w:bCs/>
          <w:color w:val="auto"/>
          <w:sz w:val="56"/>
          <w:szCs w:val="56"/>
          <w:highlight w:val="none"/>
          <w:lang w:eastAsia="zh-CN"/>
        </w:rPr>
      </w:pPr>
      <w:r>
        <w:rPr>
          <w:rFonts w:hint="eastAsia" w:ascii="仿宋" w:hAnsi="仿宋" w:eastAsia="仿宋"/>
          <w:b/>
          <w:bCs/>
          <w:color w:val="auto"/>
          <w:sz w:val="56"/>
          <w:szCs w:val="56"/>
          <w:highlight w:val="none"/>
          <w:lang w:eastAsia="zh-CN"/>
        </w:rPr>
        <w:t>****项目</w:t>
      </w:r>
    </w:p>
    <w:p w14:paraId="6FE63741">
      <w:pPr>
        <w:jc w:val="center"/>
        <w:rPr>
          <w:rFonts w:hint="eastAsia" w:ascii="仿宋" w:hAnsi="仿宋" w:eastAsia="仿宋"/>
          <w:b/>
          <w:bCs/>
          <w:color w:val="auto"/>
          <w:sz w:val="56"/>
          <w:szCs w:val="56"/>
          <w:highlight w:val="none"/>
          <w:lang w:eastAsia="zh-CN"/>
        </w:rPr>
      </w:pPr>
      <w:r>
        <w:rPr>
          <w:rFonts w:hint="eastAsia" w:ascii="仿宋" w:hAnsi="仿宋" w:eastAsia="仿宋"/>
          <w:b/>
          <w:bCs/>
          <w:color w:val="auto"/>
          <w:sz w:val="56"/>
          <w:szCs w:val="56"/>
          <w:highlight w:val="none"/>
          <w:lang w:eastAsia="zh-CN"/>
        </w:rPr>
        <w:t>商品混凝土供货合同</w:t>
      </w:r>
    </w:p>
    <w:p w14:paraId="756D540C">
      <w:pPr>
        <w:pStyle w:val="2"/>
        <w:rPr>
          <w:rFonts w:hint="eastAsia" w:ascii="仿宋" w:hAnsi="仿宋" w:eastAsia="仿宋"/>
          <w:b/>
          <w:bCs/>
          <w:color w:val="auto"/>
          <w:sz w:val="56"/>
          <w:szCs w:val="56"/>
          <w:highlight w:val="none"/>
          <w:lang w:eastAsia="zh-CN"/>
        </w:rPr>
      </w:pPr>
    </w:p>
    <w:p w14:paraId="3E9ED6FD">
      <w:pPr>
        <w:pStyle w:val="2"/>
        <w:rPr>
          <w:rFonts w:hint="default" w:ascii="仿宋" w:hAnsi="仿宋" w:eastAsia="仿宋"/>
          <w:b/>
          <w:bCs/>
          <w:color w:val="auto"/>
          <w:sz w:val="56"/>
          <w:szCs w:val="56"/>
          <w:highlight w:val="none"/>
          <w:lang w:val="en-US" w:eastAsia="zh-CN"/>
        </w:rPr>
      </w:pPr>
      <w:r>
        <w:rPr>
          <w:rFonts w:hint="eastAsia" w:ascii="仿宋" w:hAnsi="仿宋" w:eastAsia="仿宋"/>
          <w:b/>
          <w:bCs/>
          <w:color w:val="auto"/>
          <w:sz w:val="56"/>
          <w:szCs w:val="56"/>
          <w:highlight w:val="none"/>
          <w:lang w:val="en-US" w:eastAsia="zh-CN"/>
        </w:rPr>
        <w:t xml:space="preserve"> </w:t>
      </w:r>
    </w:p>
    <w:p w14:paraId="19B0BD40">
      <w:pPr>
        <w:rPr>
          <w:rFonts w:hint="eastAsia" w:ascii="仿宋" w:hAnsi="仿宋" w:eastAsia="仿宋"/>
          <w:b/>
          <w:bCs/>
          <w:color w:val="auto"/>
          <w:sz w:val="56"/>
          <w:szCs w:val="56"/>
          <w:highlight w:val="none"/>
          <w:lang w:eastAsia="zh-CN"/>
        </w:rPr>
      </w:pPr>
    </w:p>
    <w:p w14:paraId="123C8388">
      <w:pPr>
        <w:pStyle w:val="2"/>
        <w:rPr>
          <w:rFonts w:hint="eastAsia"/>
          <w:color w:val="auto"/>
          <w:highlight w:val="none"/>
          <w:lang w:eastAsia="zh-CN"/>
        </w:rPr>
      </w:pPr>
    </w:p>
    <w:p w14:paraId="2C27F1AD">
      <w:pPr>
        <w:spacing w:line="312" w:lineRule="auto"/>
        <w:ind w:firstLine="2530" w:firstLineChars="700"/>
        <w:jc w:val="both"/>
        <w:rPr>
          <w:rFonts w:hint="eastAsia" w:ascii="仿宋" w:hAnsi="仿宋" w:eastAsia="仿宋" w:cs="Times New Roman"/>
          <w:b/>
          <w:bCs/>
          <w:color w:val="auto"/>
          <w:sz w:val="36"/>
          <w:szCs w:val="36"/>
          <w:highlight w:val="none"/>
          <w:lang w:eastAsia="zh-CN"/>
        </w:rPr>
      </w:pPr>
      <w:r>
        <w:rPr>
          <w:rFonts w:hint="eastAsia" w:ascii="仿宋" w:hAnsi="仿宋" w:eastAsia="仿宋" w:cs="Times New Roman"/>
          <w:b/>
          <w:bCs/>
          <w:color w:val="auto"/>
          <w:sz w:val="36"/>
          <w:szCs w:val="36"/>
          <w:highlight w:val="none"/>
          <w:u w:val="none"/>
          <w:lang w:eastAsia="zh-CN"/>
        </w:rPr>
        <w:t>甲方：泸州兴绿园林绿化有限责任公司</w:t>
      </w:r>
      <w:r>
        <w:rPr>
          <w:rFonts w:hint="eastAsia" w:ascii="仿宋" w:hAnsi="仿宋" w:eastAsia="仿宋" w:cs="Times New Roman"/>
          <w:b/>
          <w:bCs/>
          <w:color w:val="auto"/>
          <w:sz w:val="36"/>
          <w:szCs w:val="36"/>
          <w:highlight w:val="none"/>
          <w:u w:val="none"/>
          <w:lang w:val="en-US" w:eastAsia="zh-CN"/>
        </w:rPr>
        <w:t xml:space="preserve"> </w:t>
      </w:r>
      <w:r>
        <w:rPr>
          <w:rFonts w:hint="eastAsia" w:ascii="仿宋" w:hAnsi="仿宋" w:eastAsia="仿宋" w:cs="Times New Roman"/>
          <w:b/>
          <w:bCs/>
          <w:color w:val="auto"/>
          <w:sz w:val="36"/>
          <w:szCs w:val="36"/>
          <w:highlight w:val="none"/>
          <w:lang w:val="en-US" w:eastAsia="zh-CN"/>
        </w:rPr>
        <w:t xml:space="preserve"> </w:t>
      </w:r>
    </w:p>
    <w:p w14:paraId="1DE5B85E">
      <w:pPr>
        <w:spacing w:line="312" w:lineRule="auto"/>
        <w:ind w:firstLine="2530" w:firstLineChars="700"/>
        <w:jc w:val="both"/>
        <w:rPr>
          <w:rFonts w:hint="eastAsia" w:ascii="仿宋" w:hAnsi="仿宋" w:eastAsia="仿宋"/>
          <w:b/>
          <w:bCs/>
          <w:color w:val="auto"/>
          <w:sz w:val="36"/>
          <w:szCs w:val="36"/>
          <w:highlight w:val="none"/>
          <w:lang w:eastAsia="zh-CN"/>
        </w:rPr>
      </w:pPr>
    </w:p>
    <w:p w14:paraId="682FB171">
      <w:pPr>
        <w:spacing w:line="312" w:lineRule="auto"/>
        <w:ind w:firstLine="2530" w:firstLineChars="700"/>
        <w:jc w:val="both"/>
        <w:rPr>
          <w:rFonts w:hint="default" w:ascii="仿宋" w:hAnsi="仿宋" w:eastAsia="仿宋"/>
          <w:b/>
          <w:bCs/>
          <w:color w:val="auto"/>
          <w:sz w:val="36"/>
          <w:szCs w:val="36"/>
          <w:highlight w:val="none"/>
          <w:lang w:val="en-US" w:eastAsia="zh-CN"/>
        </w:rPr>
      </w:pPr>
      <w:r>
        <w:rPr>
          <w:rFonts w:hint="eastAsia" w:ascii="仿宋" w:hAnsi="仿宋" w:eastAsia="仿宋"/>
          <w:b/>
          <w:bCs/>
          <w:color w:val="auto"/>
          <w:sz w:val="36"/>
          <w:szCs w:val="36"/>
          <w:highlight w:val="none"/>
          <w:lang w:eastAsia="zh-CN"/>
        </w:rPr>
        <w:t>乙方：*****</w:t>
      </w:r>
      <w:r>
        <w:rPr>
          <w:rFonts w:hint="eastAsia" w:ascii="仿宋" w:hAnsi="仿宋" w:eastAsia="仿宋"/>
          <w:b/>
          <w:bCs/>
          <w:color w:val="auto"/>
          <w:sz w:val="36"/>
          <w:szCs w:val="36"/>
          <w:highlight w:val="none"/>
          <w:lang w:val="en-US" w:eastAsia="zh-CN"/>
        </w:rPr>
        <w:t xml:space="preserve"> </w:t>
      </w:r>
    </w:p>
    <w:p w14:paraId="7566BC2D">
      <w:pPr>
        <w:pStyle w:val="2"/>
        <w:jc w:val="center"/>
        <w:rPr>
          <w:rFonts w:hint="eastAsia" w:ascii="仿宋" w:hAnsi="仿宋" w:eastAsia="仿宋"/>
          <w:b/>
          <w:bCs/>
          <w:color w:val="auto"/>
          <w:sz w:val="44"/>
          <w:szCs w:val="44"/>
          <w:highlight w:val="none"/>
        </w:rPr>
      </w:pPr>
    </w:p>
    <w:p w14:paraId="28023D23">
      <w:pPr>
        <w:rPr>
          <w:rFonts w:hint="eastAsia"/>
        </w:rPr>
      </w:pPr>
    </w:p>
    <w:p w14:paraId="32643D7E">
      <w:pPr>
        <w:rPr>
          <w:rFonts w:hint="eastAsia"/>
          <w:color w:val="auto"/>
          <w:highlight w:val="none"/>
        </w:rPr>
      </w:pPr>
    </w:p>
    <w:p w14:paraId="00FEFA50">
      <w:pPr>
        <w:jc w:val="center"/>
        <w:rPr>
          <w:rFonts w:hint="default" w:ascii="楷体_GB2312" w:hAnsi="楷体_GB2312" w:eastAsia="楷体_GB2312" w:cs="楷体_GB2312"/>
          <w:b/>
          <w:bCs/>
          <w:color w:val="auto"/>
          <w:spacing w:val="0"/>
          <w:sz w:val="32"/>
          <w:szCs w:val="32"/>
          <w:highlight w:val="none"/>
          <w:lang w:val="en-US" w:eastAsia="zh-CN"/>
        </w:rPr>
      </w:pPr>
      <w:r>
        <w:rPr>
          <w:rFonts w:hint="eastAsia" w:ascii="楷体_GB2312" w:hAnsi="楷体_GB2312" w:eastAsia="楷体_GB2312" w:cs="楷体_GB2312"/>
          <w:b/>
          <w:bCs/>
          <w:color w:val="auto"/>
          <w:spacing w:val="0"/>
          <w:sz w:val="32"/>
          <w:szCs w:val="32"/>
          <w:highlight w:val="none"/>
          <w:lang w:val="en-US" w:eastAsia="zh-CN"/>
        </w:rPr>
        <w:t xml:space="preserve">  2026年*月*日</w:t>
      </w:r>
    </w:p>
    <w:p w14:paraId="7A19775C">
      <w:pPr>
        <w:autoSpaceDE w:val="0"/>
        <w:spacing w:line="480" w:lineRule="exact"/>
        <w:rPr>
          <w:rFonts w:hint="eastAsia" w:ascii="楷体_GB2312" w:hAnsi="楷体_GB2312" w:eastAsia="楷体_GB2312" w:cs="楷体_GB2312"/>
          <w:color w:val="auto"/>
          <w:spacing w:val="0"/>
          <w:sz w:val="32"/>
          <w:szCs w:val="32"/>
          <w:highlight w:val="none"/>
          <w:lang w:val="en-US" w:eastAsia="zh-CN"/>
        </w:rPr>
      </w:pPr>
      <w:r>
        <w:rPr>
          <w:rFonts w:hint="eastAsia" w:ascii="楷体_GB2312" w:hAnsi="楷体_GB2312" w:eastAsia="楷体_GB2312" w:cs="楷体_GB2312"/>
          <w:color w:val="auto"/>
          <w:spacing w:val="0"/>
          <w:sz w:val="32"/>
          <w:szCs w:val="32"/>
          <w:highlight w:val="none"/>
          <w:lang w:val="en-US" w:eastAsia="zh-CN"/>
        </w:rPr>
        <w:t xml:space="preserve"> </w:t>
      </w:r>
      <w:r>
        <w:rPr>
          <w:rFonts w:hint="eastAsia" w:ascii="楷体_GB2312" w:hAnsi="楷体_GB2312" w:eastAsia="楷体_GB2312" w:cs="楷体_GB2312"/>
          <w:color w:val="auto"/>
          <w:spacing w:val="0"/>
          <w:sz w:val="32"/>
          <w:szCs w:val="32"/>
          <w:highlight w:val="none"/>
          <w:lang w:val="en-US" w:eastAsia="zh-CN"/>
        </w:rPr>
        <w:br w:type="textWrapping"/>
      </w:r>
      <w:r>
        <w:rPr>
          <w:rFonts w:hint="eastAsia" w:ascii="楷体_GB2312" w:hAnsi="楷体_GB2312" w:eastAsia="楷体_GB2312" w:cs="楷体_GB2312"/>
          <w:color w:val="auto"/>
          <w:spacing w:val="0"/>
          <w:sz w:val="32"/>
          <w:szCs w:val="32"/>
          <w:highlight w:val="none"/>
          <w:lang w:val="en-US" w:eastAsia="zh-CN"/>
        </w:rPr>
        <w:br w:type="textWrapping"/>
      </w:r>
    </w:p>
    <w:p w14:paraId="4294CC19">
      <w:pPr>
        <w:autoSpaceDE w:val="0"/>
        <w:spacing w:line="480" w:lineRule="exact"/>
        <w:rPr>
          <w:rFonts w:hint="eastAsia" w:ascii="仿宋" w:hAnsi="仿宋" w:eastAsia="仿宋"/>
          <w:b/>
          <w:bCs/>
          <w:color w:val="auto"/>
          <w:sz w:val="30"/>
          <w:szCs w:val="30"/>
          <w:highlight w:val="none"/>
        </w:rPr>
      </w:pPr>
      <w:r>
        <w:rPr>
          <w:rFonts w:hint="eastAsia" w:ascii="仿宋" w:hAnsi="仿宋" w:eastAsia="仿宋"/>
          <w:b/>
          <w:bCs/>
          <w:color w:val="auto"/>
          <w:sz w:val="52"/>
          <w:szCs w:val="52"/>
          <w:highlight w:val="none"/>
        </w:rPr>
        <w:t xml:space="preserve"> </w:t>
      </w:r>
    </w:p>
    <w:p w14:paraId="2BA8FAE4">
      <w:pPr>
        <w:pStyle w:val="2"/>
        <w:jc w:val="both"/>
        <w:rPr>
          <w:rFonts w:hint="eastAsia" w:ascii="仿宋" w:hAnsi="仿宋" w:eastAsia="仿宋"/>
          <w:b/>
          <w:bCs/>
          <w:color w:val="auto"/>
          <w:sz w:val="30"/>
          <w:szCs w:val="30"/>
          <w:highlight w:val="none"/>
        </w:rPr>
      </w:pPr>
      <w:r>
        <w:rPr>
          <w:rFonts w:hint="eastAsia" w:ascii="仿宋" w:hAnsi="仿宋" w:eastAsia="仿宋"/>
          <w:b/>
          <w:bCs/>
          <w:color w:val="auto"/>
          <w:sz w:val="30"/>
          <w:szCs w:val="30"/>
          <w:highlight w:val="none"/>
        </w:rPr>
        <w:t>使用方：</w:t>
      </w:r>
      <w:r>
        <w:rPr>
          <w:rFonts w:hint="eastAsia" w:ascii="仿宋" w:hAnsi="仿宋" w:eastAsia="仿宋" w:cs="Times New Roman"/>
          <w:b/>
          <w:bCs/>
          <w:color w:val="auto"/>
          <w:sz w:val="30"/>
          <w:szCs w:val="30"/>
          <w:highlight w:val="none"/>
          <w:u w:val="single"/>
          <w:lang w:eastAsia="zh-CN"/>
        </w:rPr>
        <w:t>泸州兴绿园林绿化有限责任公司</w:t>
      </w:r>
      <w:r>
        <w:rPr>
          <w:rFonts w:hint="eastAsia" w:ascii="仿宋" w:hAnsi="仿宋" w:eastAsia="仿宋"/>
          <w:b/>
          <w:bCs/>
          <w:color w:val="auto"/>
          <w:sz w:val="30"/>
          <w:szCs w:val="30"/>
          <w:highlight w:val="none"/>
          <w:u w:val="single"/>
        </w:rPr>
        <w:t>（以下简称甲方</w:t>
      </w:r>
      <w:r>
        <w:rPr>
          <w:rFonts w:hint="eastAsia" w:ascii="仿宋" w:hAnsi="仿宋" w:eastAsia="仿宋"/>
          <w:b/>
          <w:bCs/>
          <w:color w:val="auto"/>
          <w:sz w:val="30"/>
          <w:szCs w:val="30"/>
          <w:highlight w:val="none"/>
        </w:rPr>
        <w:t>）</w:t>
      </w:r>
      <w:r>
        <w:rPr>
          <w:rFonts w:hint="eastAsia" w:ascii="仿宋" w:hAnsi="仿宋" w:eastAsia="仿宋"/>
          <w:color w:val="auto"/>
          <w:sz w:val="30"/>
          <w:szCs w:val="30"/>
          <w:highlight w:val="none"/>
          <w:lang w:val="en-US" w:eastAsia="zh-CN"/>
        </w:rPr>
        <w:t xml:space="preserve">    </w:t>
      </w:r>
      <w:r>
        <w:rPr>
          <w:rFonts w:hint="eastAsia" w:ascii="仿宋" w:hAnsi="仿宋" w:eastAsia="仿宋"/>
          <w:b/>
          <w:bCs/>
          <w:color w:val="auto"/>
          <w:sz w:val="30"/>
          <w:szCs w:val="30"/>
          <w:highlight w:val="none"/>
        </w:rPr>
        <w:t xml:space="preserve"> </w:t>
      </w:r>
      <w:r>
        <w:rPr>
          <w:rFonts w:hint="eastAsia" w:ascii="仿宋" w:hAnsi="仿宋" w:eastAsia="仿宋"/>
          <w:color w:val="auto"/>
          <w:sz w:val="30"/>
          <w:szCs w:val="30"/>
          <w:highlight w:val="none"/>
        </w:rPr>
        <w:t xml:space="preserve">                      </w:t>
      </w:r>
      <w:r>
        <w:rPr>
          <w:rFonts w:hint="eastAsia" w:ascii="仿宋" w:hAnsi="仿宋" w:eastAsia="仿宋"/>
          <w:b/>
          <w:bCs/>
          <w:color w:val="auto"/>
          <w:sz w:val="30"/>
          <w:szCs w:val="30"/>
          <w:highlight w:val="none"/>
        </w:rPr>
        <w:t xml:space="preserve">                       </w:t>
      </w:r>
    </w:p>
    <w:p w14:paraId="351B73AF">
      <w:pPr>
        <w:autoSpaceDE w:val="0"/>
        <w:spacing w:line="480" w:lineRule="exact"/>
        <w:jc w:val="left"/>
        <w:rPr>
          <w:rFonts w:hint="eastAsia" w:ascii="仿宋" w:hAnsi="仿宋" w:eastAsia="仿宋"/>
          <w:color w:val="auto"/>
          <w:sz w:val="30"/>
          <w:szCs w:val="30"/>
          <w:highlight w:val="none"/>
        </w:rPr>
      </w:pPr>
      <w:r>
        <w:rPr>
          <w:rFonts w:hint="eastAsia" w:ascii="仿宋" w:hAnsi="仿宋" w:eastAsia="仿宋"/>
          <w:b/>
          <w:bCs/>
          <w:color w:val="auto"/>
          <w:sz w:val="30"/>
          <w:szCs w:val="30"/>
          <w:highlight w:val="none"/>
        </w:rPr>
        <w:t>供应方</w:t>
      </w:r>
      <w:r>
        <w:rPr>
          <w:rFonts w:hint="eastAsia" w:ascii="仿宋" w:hAnsi="仿宋" w:eastAsia="仿宋"/>
          <w:color w:val="auto"/>
          <w:sz w:val="30"/>
          <w:szCs w:val="30"/>
          <w:highlight w:val="none"/>
        </w:rPr>
        <w:t>：</w:t>
      </w:r>
      <w:r>
        <w:rPr>
          <w:rFonts w:hint="eastAsia" w:ascii="仿宋" w:hAnsi="仿宋" w:eastAsia="仿宋" w:cs="Times New Roman"/>
          <w:b/>
          <w:bCs/>
          <w:color w:val="auto"/>
          <w:kern w:val="2"/>
          <w:sz w:val="30"/>
          <w:szCs w:val="30"/>
          <w:highlight w:val="none"/>
          <w:u w:val="single"/>
          <w:lang w:val="en-US" w:eastAsia="zh-CN" w:bidi="ar-SA"/>
        </w:rPr>
        <w:t>*****</w:t>
      </w:r>
      <w:r>
        <w:rPr>
          <w:rFonts w:hint="eastAsia" w:ascii="仿宋" w:hAnsi="仿宋" w:eastAsia="仿宋"/>
          <w:b/>
          <w:bCs/>
          <w:color w:val="auto"/>
          <w:sz w:val="30"/>
          <w:szCs w:val="30"/>
          <w:highlight w:val="none"/>
          <w:u w:val="single"/>
        </w:rPr>
        <w:t>（以下简称乙方）</w:t>
      </w:r>
    </w:p>
    <w:p w14:paraId="3D663D16">
      <w:pPr>
        <w:autoSpaceDE w:val="0"/>
        <w:spacing w:line="480" w:lineRule="exact"/>
        <w:jc w:val="left"/>
        <w:rPr>
          <w:rFonts w:hint="eastAsia" w:ascii="仿宋" w:hAnsi="仿宋" w:eastAsia="仿宋"/>
          <w:color w:val="auto"/>
          <w:sz w:val="30"/>
          <w:szCs w:val="30"/>
          <w:highlight w:val="none"/>
        </w:rPr>
      </w:pPr>
      <w:r>
        <w:rPr>
          <w:rFonts w:hint="eastAsia" w:ascii="仿宋" w:hAnsi="仿宋" w:eastAsia="仿宋"/>
          <w:color w:val="auto"/>
          <w:sz w:val="30"/>
          <w:szCs w:val="30"/>
          <w:highlight w:val="none"/>
        </w:rPr>
        <w:t xml:space="preserve"> </w:t>
      </w:r>
    </w:p>
    <w:p w14:paraId="39873360">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auto"/>
          <w:kern w:val="0"/>
          <w:sz w:val="30"/>
          <w:szCs w:val="30"/>
          <w:highlight w:val="none"/>
        </w:rPr>
      </w:pPr>
      <w:r>
        <w:rPr>
          <w:rFonts w:hint="eastAsia" w:ascii="仿宋" w:hAnsi="仿宋" w:eastAsia="仿宋" w:cs="仿宋_GB2312"/>
          <w:color w:val="auto"/>
          <w:kern w:val="0"/>
          <w:sz w:val="30"/>
          <w:szCs w:val="30"/>
          <w:highlight w:val="none"/>
        </w:rPr>
        <w:t>遵照《中华人民共和国民法典》《中华人民共和国建筑法》等法律法规的规定，结合泸州市建设工程生产、销售、使用预拌混凝土的具体要求，本着公平、公正、诚实信用、友好协作的原则，为明确甲、乙双方的权利和义务，经双方协商一致，签订本合同。</w:t>
      </w:r>
    </w:p>
    <w:p w14:paraId="77A37A3D">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auto"/>
          <w:kern w:val="0"/>
          <w:sz w:val="30"/>
          <w:szCs w:val="30"/>
          <w:highlight w:val="none"/>
        </w:rPr>
      </w:pPr>
      <w:r>
        <w:rPr>
          <w:rFonts w:hint="eastAsia" w:ascii="仿宋" w:hAnsi="仿宋" w:eastAsia="仿宋" w:cs="仿宋_GB2312"/>
          <w:b/>
          <w:bCs/>
          <w:color w:val="auto"/>
          <w:kern w:val="0"/>
          <w:sz w:val="30"/>
          <w:szCs w:val="30"/>
          <w:highlight w:val="none"/>
        </w:rPr>
        <w:t>一、工程概况：</w:t>
      </w:r>
    </w:p>
    <w:p w14:paraId="5CBD3992">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default" w:ascii="仿宋" w:hAnsi="仿宋" w:eastAsia="仿宋" w:cs="仿宋_GB2312"/>
          <w:color w:val="auto"/>
          <w:kern w:val="0"/>
          <w:sz w:val="30"/>
          <w:szCs w:val="30"/>
          <w:highlight w:val="none"/>
          <w:u w:val="single"/>
          <w:lang w:val="en-US"/>
        </w:rPr>
      </w:pPr>
      <w:r>
        <w:rPr>
          <w:rFonts w:hint="eastAsia" w:ascii="仿宋" w:hAnsi="仿宋" w:eastAsia="仿宋" w:cs="仿宋_GB2312"/>
          <w:color w:val="auto"/>
          <w:kern w:val="0"/>
          <w:sz w:val="30"/>
          <w:szCs w:val="30"/>
          <w:highlight w:val="none"/>
        </w:rPr>
        <w:t>1.1、工程名称：</w:t>
      </w:r>
      <w:r>
        <w:rPr>
          <w:rFonts w:hint="eastAsia" w:ascii="仿宋" w:hAnsi="仿宋" w:eastAsia="仿宋" w:cs="仿宋_GB2312"/>
          <w:color w:val="auto"/>
          <w:kern w:val="0"/>
          <w:sz w:val="30"/>
          <w:szCs w:val="30"/>
          <w:highlight w:val="none"/>
          <w:u w:val="single"/>
          <w:lang w:eastAsia="zh-CN"/>
        </w:rPr>
        <w:t>****</w:t>
      </w:r>
      <w:r>
        <w:rPr>
          <w:rFonts w:hint="eastAsia" w:ascii="仿宋" w:hAnsi="仿宋" w:eastAsia="仿宋" w:cs="仿宋_GB2312"/>
          <w:color w:val="auto"/>
          <w:kern w:val="0"/>
          <w:sz w:val="30"/>
          <w:szCs w:val="30"/>
          <w:highlight w:val="none"/>
          <w:u w:val="single"/>
          <w:lang w:val="en-US" w:eastAsia="zh-CN"/>
        </w:rPr>
        <w:t xml:space="preserve">   </w:t>
      </w:r>
    </w:p>
    <w:p w14:paraId="777C172A">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auto"/>
          <w:kern w:val="0"/>
          <w:sz w:val="30"/>
          <w:szCs w:val="30"/>
          <w:highlight w:val="none"/>
          <w:u w:val="single"/>
        </w:rPr>
      </w:pPr>
      <w:r>
        <w:rPr>
          <w:rFonts w:hint="eastAsia" w:ascii="仿宋" w:hAnsi="仿宋" w:eastAsia="仿宋" w:cs="仿宋_GB2312"/>
          <w:color w:val="auto"/>
          <w:kern w:val="0"/>
          <w:sz w:val="30"/>
          <w:szCs w:val="30"/>
          <w:highlight w:val="none"/>
        </w:rPr>
        <w:t>1.2、工程地点：</w:t>
      </w:r>
      <w:r>
        <w:rPr>
          <w:rFonts w:hint="eastAsia" w:ascii="仿宋" w:hAnsi="仿宋" w:eastAsia="仿宋" w:cs="仿宋_GB2312"/>
          <w:color w:val="auto"/>
          <w:kern w:val="0"/>
          <w:sz w:val="30"/>
          <w:szCs w:val="30"/>
          <w:highlight w:val="none"/>
          <w:u w:val="single"/>
        </w:rPr>
        <w:t xml:space="preserve"> </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rPr>
        <w:t xml:space="preserve">      </w:t>
      </w:r>
    </w:p>
    <w:p w14:paraId="0A9A33A4">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auto"/>
          <w:kern w:val="0"/>
          <w:sz w:val="30"/>
          <w:szCs w:val="30"/>
          <w:highlight w:val="none"/>
        </w:rPr>
      </w:pPr>
      <w:r>
        <w:rPr>
          <w:rFonts w:hint="eastAsia" w:ascii="仿宋" w:hAnsi="仿宋" w:eastAsia="仿宋" w:cs="仿宋_GB2312"/>
          <w:b/>
          <w:bCs/>
          <w:color w:val="auto"/>
          <w:kern w:val="0"/>
          <w:sz w:val="30"/>
          <w:szCs w:val="30"/>
          <w:highlight w:val="none"/>
        </w:rPr>
        <w:t>二、供应范围及数量：</w:t>
      </w:r>
    </w:p>
    <w:p w14:paraId="4B75CCE1">
      <w:pPr>
        <w:keepNext w:val="0"/>
        <w:keepLines w:val="0"/>
        <w:pageBreakBefore w:val="0"/>
        <w:widowControl w:val="0"/>
        <w:kinsoku/>
        <w:wordWrap/>
        <w:overflowPunct/>
        <w:topLinePunct w:val="0"/>
        <w:autoSpaceDE w:val="0"/>
        <w:autoSpaceDN/>
        <w:bidi w:val="0"/>
        <w:adjustRightInd/>
        <w:snapToGrid/>
        <w:spacing w:line="540" w:lineRule="exact"/>
        <w:ind w:left="298" w:leftChars="142" w:firstLine="300" w:firstLineChars="100"/>
        <w:jc w:val="left"/>
        <w:textAlignment w:val="auto"/>
        <w:rPr>
          <w:rFonts w:hint="eastAsia" w:ascii="仿宋" w:hAnsi="仿宋" w:eastAsia="仿宋" w:cs="仿宋_GB2312"/>
          <w:color w:val="auto"/>
          <w:kern w:val="0"/>
          <w:sz w:val="30"/>
          <w:szCs w:val="30"/>
          <w:highlight w:val="none"/>
        </w:rPr>
      </w:pPr>
      <w:r>
        <w:rPr>
          <w:rFonts w:hint="eastAsia" w:ascii="仿宋" w:hAnsi="仿宋" w:eastAsia="仿宋" w:cs="仿宋_GB2312"/>
          <w:color w:val="auto"/>
          <w:kern w:val="0"/>
          <w:sz w:val="30"/>
          <w:szCs w:val="30"/>
          <w:highlight w:val="none"/>
        </w:rPr>
        <w:t>预拌混凝土供应范围为</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u w:val="single"/>
        </w:rPr>
        <w:t>项目</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rPr>
        <w:t>建设所用混凝土，供应总量</w:t>
      </w:r>
      <w:r>
        <w:rPr>
          <w:rFonts w:hint="eastAsia" w:ascii="仿宋" w:hAnsi="仿宋" w:eastAsia="仿宋" w:cs="仿宋_GB2312"/>
          <w:color w:val="auto"/>
          <w:kern w:val="0"/>
          <w:sz w:val="30"/>
          <w:szCs w:val="30"/>
          <w:highlight w:val="none"/>
          <w:lang w:eastAsia="zh-CN"/>
        </w:rPr>
        <w:t>大</w:t>
      </w:r>
      <w:r>
        <w:rPr>
          <w:rFonts w:hint="eastAsia" w:ascii="仿宋" w:hAnsi="仿宋" w:eastAsia="仿宋" w:cs="仿宋_GB2312"/>
          <w:color w:val="auto"/>
          <w:kern w:val="0"/>
          <w:sz w:val="30"/>
          <w:szCs w:val="30"/>
          <w:highlight w:val="none"/>
        </w:rPr>
        <w:t>约</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rPr>
        <w:t>立方米，预计总金额约人民币</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rPr>
        <w:t>元</w:t>
      </w:r>
      <w:r>
        <w:rPr>
          <w:rFonts w:hint="eastAsia" w:ascii="仿宋" w:hAnsi="仿宋" w:eastAsia="仿宋" w:cs="仿宋_GB2312"/>
          <w:color w:val="auto"/>
          <w:kern w:val="0"/>
          <w:sz w:val="30"/>
          <w:szCs w:val="30"/>
          <w:highlight w:val="none"/>
          <w:lang w:eastAsia="zh-CN"/>
        </w:rPr>
        <w:t>（税率为</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lang w:eastAsia="zh-CN"/>
        </w:rPr>
        <w:t>%，其中：不含税金额</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lang w:eastAsia="zh-CN"/>
        </w:rPr>
        <w:t>元，增值税税额</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lang w:eastAsia="zh-CN"/>
        </w:rPr>
        <w:t>元)，最终结算</w:t>
      </w:r>
      <w:r>
        <w:rPr>
          <w:rFonts w:hint="eastAsia" w:ascii="仿宋" w:hAnsi="仿宋" w:eastAsia="仿宋" w:cs="仿宋_GB2312"/>
          <w:color w:val="auto"/>
          <w:kern w:val="0"/>
          <w:sz w:val="30"/>
          <w:szCs w:val="30"/>
          <w:highlight w:val="none"/>
        </w:rPr>
        <w:t>以实际供应双方签字确认核对结算金额为准。</w:t>
      </w:r>
    </w:p>
    <w:p w14:paraId="073E6308">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auto"/>
          <w:kern w:val="0"/>
          <w:sz w:val="30"/>
          <w:szCs w:val="30"/>
          <w:highlight w:val="none"/>
        </w:rPr>
      </w:pPr>
      <w:r>
        <w:rPr>
          <w:rFonts w:hint="eastAsia" w:ascii="仿宋" w:hAnsi="仿宋" w:eastAsia="仿宋" w:cs="仿宋_GB2312"/>
          <w:b/>
          <w:bCs/>
          <w:color w:val="auto"/>
          <w:kern w:val="0"/>
          <w:sz w:val="30"/>
          <w:szCs w:val="30"/>
          <w:highlight w:val="none"/>
        </w:rPr>
        <w:t>三、合同期限：</w:t>
      </w:r>
    </w:p>
    <w:p w14:paraId="6DB54DF1">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auto"/>
          <w:sz w:val="30"/>
          <w:szCs w:val="30"/>
          <w:highlight w:val="none"/>
        </w:rPr>
      </w:pPr>
      <w:r>
        <w:rPr>
          <w:rFonts w:hint="eastAsia" w:ascii="仿宋" w:hAnsi="仿宋" w:eastAsia="仿宋" w:cs="仿宋_GB2312"/>
          <w:color w:val="auto"/>
          <w:kern w:val="0"/>
          <w:sz w:val="30"/>
          <w:szCs w:val="30"/>
          <w:highlight w:val="none"/>
        </w:rPr>
        <w:t>从</w:t>
      </w:r>
      <w:r>
        <w:rPr>
          <w:rFonts w:hint="eastAsia" w:ascii="仿宋" w:hAnsi="仿宋" w:eastAsia="仿宋" w:cs="仿宋_GB2312"/>
          <w:color w:val="auto"/>
          <w:kern w:val="0"/>
          <w:sz w:val="30"/>
          <w:szCs w:val="30"/>
          <w:highlight w:val="none"/>
          <w:u w:val="single"/>
          <w:lang w:val="en-US" w:eastAsia="zh-CN"/>
        </w:rPr>
        <w:t xml:space="preserve"> 2026 </w:t>
      </w:r>
      <w:r>
        <w:rPr>
          <w:rFonts w:hint="eastAsia" w:ascii="仿宋" w:hAnsi="仿宋" w:eastAsia="仿宋" w:cs="仿宋_GB2312"/>
          <w:color w:val="auto"/>
          <w:kern w:val="0"/>
          <w:sz w:val="30"/>
          <w:szCs w:val="30"/>
          <w:highlight w:val="none"/>
        </w:rPr>
        <w:t>年</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rPr>
        <w:t>月</w:t>
      </w:r>
      <w:r>
        <w:rPr>
          <w:rFonts w:hint="eastAsia" w:ascii="仿宋" w:hAnsi="仿宋" w:eastAsia="仿宋" w:cs="仿宋_GB2312"/>
          <w:color w:val="auto"/>
          <w:kern w:val="0"/>
          <w:sz w:val="30"/>
          <w:szCs w:val="30"/>
          <w:highlight w:val="none"/>
          <w:u w:val="single"/>
          <w:lang w:val="en-US" w:eastAsia="zh-CN"/>
        </w:rPr>
        <w:t xml:space="preserve">     </w:t>
      </w:r>
      <w:r>
        <w:rPr>
          <w:rFonts w:hint="eastAsia" w:ascii="仿宋" w:hAnsi="仿宋" w:eastAsia="仿宋" w:cs="仿宋_GB2312"/>
          <w:color w:val="auto"/>
          <w:kern w:val="0"/>
          <w:sz w:val="30"/>
          <w:szCs w:val="30"/>
          <w:highlight w:val="none"/>
        </w:rPr>
        <w:t>日起至乙方供完本合同约定供应范围</w:t>
      </w:r>
      <w:r>
        <w:rPr>
          <w:rFonts w:hint="eastAsia" w:ascii="仿宋" w:hAnsi="仿宋" w:eastAsia="仿宋" w:cs="仿宋_GB2312"/>
          <w:color w:val="auto"/>
          <w:kern w:val="0"/>
          <w:sz w:val="30"/>
          <w:szCs w:val="30"/>
          <w:highlight w:val="none"/>
          <w:lang w:eastAsia="zh-CN"/>
        </w:rPr>
        <w:t>，</w:t>
      </w:r>
      <w:r>
        <w:rPr>
          <w:rFonts w:hint="eastAsia" w:ascii="仿宋" w:hAnsi="仿宋" w:eastAsia="仿宋" w:cs="仿宋_GB2312"/>
          <w:color w:val="auto"/>
          <w:kern w:val="0"/>
          <w:sz w:val="30"/>
          <w:szCs w:val="30"/>
          <w:highlight w:val="none"/>
        </w:rPr>
        <w:t>并办理完毕结算且甲方支付完全部款项之日</w:t>
      </w:r>
      <w:r>
        <w:rPr>
          <w:rFonts w:hint="eastAsia" w:ascii="仿宋" w:hAnsi="仿宋" w:eastAsia="仿宋" w:cs="仿宋_GB2312"/>
          <w:color w:val="auto"/>
          <w:sz w:val="30"/>
          <w:szCs w:val="30"/>
          <w:highlight w:val="none"/>
        </w:rPr>
        <w:t>止即终止本合同。</w:t>
      </w:r>
    </w:p>
    <w:p w14:paraId="37D2A6D0">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auto"/>
          <w:kern w:val="0"/>
          <w:sz w:val="30"/>
          <w:szCs w:val="30"/>
          <w:highlight w:val="none"/>
        </w:rPr>
      </w:pPr>
      <w:r>
        <w:rPr>
          <w:rFonts w:hint="eastAsia" w:ascii="仿宋" w:hAnsi="仿宋" w:eastAsia="仿宋" w:cs="仿宋_GB2312"/>
          <w:b/>
          <w:bCs/>
          <w:color w:val="auto"/>
          <w:kern w:val="0"/>
          <w:sz w:val="30"/>
          <w:szCs w:val="30"/>
          <w:highlight w:val="none"/>
        </w:rPr>
        <w:t>四、质量标准：</w:t>
      </w:r>
    </w:p>
    <w:p w14:paraId="64A6CAEA">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auto"/>
          <w:kern w:val="0"/>
          <w:sz w:val="30"/>
          <w:szCs w:val="30"/>
          <w:highlight w:val="none"/>
        </w:rPr>
      </w:pPr>
      <w:r>
        <w:rPr>
          <w:rFonts w:hint="eastAsia" w:ascii="仿宋" w:hAnsi="仿宋" w:eastAsia="仿宋" w:cs="仿宋_GB2312"/>
          <w:color w:val="auto"/>
          <w:kern w:val="0"/>
          <w:sz w:val="30"/>
          <w:szCs w:val="30"/>
          <w:highlight w:val="none"/>
        </w:rPr>
        <w:t>4.1、预拌混凝土的质量判定以交货时见证取样送检结果为依据，按国家标准《预拌混凝土》（GB/T14902—2012）、《混凝土结构工程施工质量验收规范》（GB50204—2015）、《泸州市预拌混凝土质量监督管理暂行规定》等规定，在交货地点随机抽样制作试件。试件在标准条件下养护至28天，其抗压强度按《混凝土强度检验评定标准》（GBT50107—2010）进行评定，作为工程验收的依据。</w:t>
      </w:r>
    </w:p>
    <w:p w14:paraId="7B840825">
      <w:pPr>
        <w:keepNext w:val="0"/>
        <w:keepLines w:val="0"/>
        <w:pageBreakBefore w:val="0"/>
        <w:widowControl w:val="0"/>
        <w:kinsoku/>
        <w:wordWrap/>
        <w:overflowPunct/>
        <w:topLinePunct w:val="0"/>
        <w:autoSpaceDE w:val="0"/>
        <w:autoSpaceDN/>
        <w:bidi w:val="0"/>
        <w:adjustRightInd/>
        <w:snapToGrid/>
        <w:spacing w:line="540" w:lineRule="exact"/>
        <w:ind w:firstLine="560" w:firstLineChars="200"/>
        <w:jc w:val="left"/>
        <w:textAlignment w:val="auto"/>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4.2、如发生混凝土强度等级质量问题按照下列程序进行处理：</w:t>
      </w:r>
    </w:p>
    <w:p w14:paraId="579BFBBB">
      <w:pPr>
        <w:keepNext w:val="0"/>
        <w:keepLines w:val="0"/>
        <w:pageBreakBefore w:val="0"/>
        <w:widowControl w:val="0"/>
        <w:kinsoku/>
        <w:wordWrap/>
        <w:overflowPunct/>
        <w:topLinePunct w:val="0"/>
        <w:autoSpaceDE w:val="0"/>
        <w:autoSpaceDN/>
        <w:bidi w:val="0"/>
        <w:adjustRightInd/>
        <w:snapToGrid/>
        <w:spacing w:line="540" w:lineRule="exact"/>
        <w:jc w:val="left"/>
        <w:textAlignment w:val="auto"/>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①检查质监站预拌混凝土动态监管系统记录；②按国家规范用备用试件和同条件试件重新送检；③回弹或取芯检测；④检查甲方的施工记录、养护记录；⑤检查乙方当天的生产数据是否符合规范要求；</w:t>
      </w:r>
    </w:p>
    <w:p w14:paraId="52C24ECE">
      <w:pPr>
        <w:keepNext w:val="0"/>
        <w:keepLines w:val="0"/>
        <w:pageBreakBefore w:val="0"/>
        <w:widowControl w:val="0"/>
        <w:kinsoku/>
        <w:wordWrap/>
        <w:overflowPunct/>
        <w:topLinePunct w:val="0"/>
        <w:autoSpaceDE w:val="0"/>
        <w:autoSpaceDN/>
        <w:bidi w:val="0"/>
        <w:adjustRightInd/>
        <w:snapToGrid/>
        <w:spacing w:line="540" w:lineRule="exact"/>
        <w:jc w:val="left"/>
        <w:textAlignment w:val="auto"/>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⑥双方进行分析、协商，按规范采取措施进行处理；⑦请质量监督管理部门或协会专业委员会进行分析和处理；⑧进入司法程序处理。</w:t>
      </w:r>
    </w:p>
    <w:p w14:paraId="2F527751">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auto"/>
          <w:sz w:val="30"/>
          <w:szCs w:val="30"/>
          <w:highlight w:val="none"/>
        </w:rPr>
      </w:pPr>
      <w:r>
        <w:rPr>
          <w:rFonts w:hint="eastAsia" w:ascii="仿宋" w:hAnsi="仿宋" w:eastAsia="仿宋" w:cs="仿宋_GB2312"/>
          <w:b/>
          <w:bCs/>
          <w:color w:val="auto"/>
          <w:sz w:val="30"/>
          <w:szCs w:val="30"/>
          <w:highlight w:val="none"/>
        </w:rPr>
        <w:t>五、混凝土计价方式及其他项目单价约定如下：</w:t>
      </w:r>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34"/>
        <w:gridCol w:w="1801"/>
        <w:gridCol w:w="961"/>
        <w:gridCol w:w="1343"/>
        <w:gridCol w:w="885"/>
        <w:gridCol w:w="1537"/>
        <w:gridCol w:w="1674"/>
        <w:gridCol w:w="834"/>
      </w:tblGrid>
      <w:tr w14:paraId="7BFBE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BE13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502C7B">
            <w:pPr>
              <w:jc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名称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300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型号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C7A6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556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72C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全费用单价（元）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94F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FE0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备注</w:t>
            </w:r>
          </w:p>
        </w:tc>
      </w:tr>
      <w:tr w14:paraId="557C2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177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23D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商品混凝土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C9F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C15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B8B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7EB2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EDA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78E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88FEDB">
            <w:pPr>
              <w:rPr>
                <w:rFonts w:hint="eastAsia" w:ascii="宋体" w:hAnsi="宋体" w:eastAsia="宋体" w:cs="宋体"/>
                <w:i w:val="0"/>
                <w:iCs w:val="0"/>
                <w:color w:val="000000"/>
                <w:sz w:val="22"/>
                <w:szCs w:val="22"/>
                <w:u w:val="none"/>
              </w:rPr>
            </w:pPr>
          </w:p>
        </w:tc>
      </w:tr>
      <w:tr w14:paraId="05194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6A4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072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商品混凝土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026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C20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F43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7F2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BBB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A3C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6F458E">
            <w:pPr>
              <w:rPr>
                <w:rFonts w:hint="eastAsia" w:ascii="宋体" w:hAnsi="宋体" w:eastAsia="宋体" w:cs="宋体"/>
                <w:i w:val="0"/>
                <w:iCs w:val="0"/>
                <w:color w:val="000000"/>
                <w:sz w:val="22"/>
                <w:szCs w:val="22"/>
                <w:u w:val="none"/>
              </w:rPr>
            </w:pPr>
          </w:p>
        </w:tc>
      </w:tr>
      <w:tr w14:paraId="6674D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D6C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950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商品混凝土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B5A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C25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D55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7BB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BB9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928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01AE89">
            <w:pPr>
              <w:rPr>
                <w:rFonts w:hint="eastAsia" w:ascii="宋体" w:hAnsi="宋体" w:eastAsia="宋体" w:cs="宋体"/>
                <w:i w:val="0"/>
                <w:iCs w:val="0"/>
                <w:color w:val="000000"/>
                <w:sz w:val="22"/>
                <w:szCs w:val="22"/>
                <w:u w:val="none"/>
              </w:rPr>
            </w:pPr>
          </w:p>
        </w:tc>
      </w:tr>
      <w:tr w14:paraId="6E27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42B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C62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商品混凝土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0B2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C30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2745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7F64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A0C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3B7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A79F5D">
            <w:pPr>
              <w:rPr>
                <w:rFonts w:hint="eastAsia" w:ascii="宋体" w:hAnsi="宋体" w:eastAsia="宋体" w:cs="宋体"/>
                <w:i w:val="0"/>
                <w:iCs w:val="0"/>
                <w:color w:val="000000"/>
                <w:sz w:val="22"/>
                <w:szCs w:val="22"/>
                <w:u w:val="none"/>
              </w:rPr>
            </w:pPr>
          </w:p>
        </w:tc>
      </w:tr>
      <w:tr w14:paraId="0B8FB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0E8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CBB4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商品混凝土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CD4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C35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71E2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016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ADCA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5CA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5C7F9F">
            <w:pPr>
              <w:rPr>
                <w:rFonts w:hint="eastAsia" w:ascii="宋体" w:hAnsi="宋体" w:eastAsia="宋体" w:cs="宋体"/>
                <w:i w:val="0"/>
                <w:iCs w:val="0"/>
                <w:color w:val="000000"/>
                <w:sz w:val="22"/>
                <w:szCs w:val="22"/>
                <w:u w:val="none"/>
              </w:rPr>
            </w:pPr>
          </w:p>
        </w:tc>
      </w:tr>
      <w:tr w14:paraId="73074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5290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450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汽车泵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FA7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52米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2ED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1600.00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64FF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3A0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8D3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93192C">
            <w:pPr>
              <w:jc w:val="center"/>
              <w:rPr>
                <w:rFonts w:hint="eastAsia" w:ascii="宋体" w:hAnsi="宋体" w:eastAsia="宋体" w:cs="宋体"/>
                <w:i w:val="0"/>
                <w:iCs w:val="0"/>
                <w:color w:val="000000"/>
                <w:sz w:val="24"/>
                <w:szCs w:val="24"/>
                <w:u w:val="none"/>
              </w:rPr>
            </w:pPr>
          </w:p>
        </w:tc>
      </w:tr>
      <w:tr w14:paraId="3913C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F473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E16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润泵剂</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114C8E">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CB16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937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2B0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277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C85118">
            <w:pPr>
              <w:jc w:val="center"/>
              <w:rPr>
                <w:rFonts w:hint="eastAsia" w:ascii="宋体" w:hAnsi="宋体" w:eastAsia="宋体" w:cs="宋体"/>
                <w:b/>
                <w:bCs/>
                <w:i w:val="0"/>
                <w:iCs w:val="0"/>
                <w:color w:val="000000"/>
                <w:sz w:val="24"/>
                <w:szCs w:val="24"/>
                <w:u w:val="none"/>
              </w:rPr>
            </w:pPr>
          </w:p>
        </w:tc>
      </w:tr>
      <w:tr w14:paraId="4E766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EDC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F71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E4DEE6">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6AF4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96C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D0A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797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493B85">
            <w:pPr>
              <w:jc w:val="center"/>
              <w:rPr>
                <w:rFonts w:hint="eastAsia" w:ascii="宋体" w:hAnsi="宋体" w:eastAsia="宋体" w:cs="宋体"/>
                <w:b/>
                <w:bCs/>
                <w:i w:val="0"/>
                <w:iCs w:val="0"/>
                <w:color w:val="000000"/>
                <w:sz w:val="24"/>
                <w:szCs w:val="24"/>
                <w:u w:val="none"/>
              </w:rPr>
            </w:pPr>
          </w:p>
        </w:tc>
      </w:tr>
      <w:tr w14:paraId="478B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75C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C45E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超时费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00C66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C74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08E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E7C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A9C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298524">
            <w:pPr>
              <w:jc w:val="center"/>
              <w:rPr>
                <w:rFonts w:hint="eastAsia" w:ascii="宋体" w:hAnsi="宋体" w:eastAsia="宋体" w:cs="宋体"/>
                <w:b/>
                <w:bCs/>
                <w:i w:val="0"/>
                <w:iCs w:val="0"/>
                <w:color w:val="000000"/>
                <w:sz w:val="24"/>
                <w:szCs w:val="24"/>
                <w:u w:val="none"/>
              </w:rPr>
            </w:pPr>
          </w:p>
        </w:tc>
      </w:tr>
      <w:tr w14:paraId="54466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0" w:type="auto"/>
            <w:gridSpan w:val="5"/>
            <w:tcBorders>
              <w:top w:val="single" w:color="000000" w:sz="4" w:space="0"/>
              <w:left w:val="single" w:color="000000" w:sz="4" w:space="0"/>
              <w:bottom w:val="single" w:color="000000" w:sz="4" w:space="0"/>
              <w:right w:val="single" w:color="000000" w:sz="4" w:space="0"/>
            </w:tcBorders>
            <w:shd w:val="clear"/>
            <w:noWrap/>
            <w:vAlign w:val="center"/>
          </w:tcPr>
          <w:p w14:paraId="791B5EE0">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C0643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4586F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4C970F">
            <w:pPr>
              <w:jc w:val="center"/>
              <w:rPr>
                <w:rFonts w:hint="eastAsia" w:ascii="宋体" w:hAnsi="宋体" w:eastAsia="宋体" w:cs="宋体"/>
                <w:b/>
                <w:bCs/>
                <w:i w:val="0"/>
                <w:iCs w:val="0"/>
                <w:color w:val="000000"/>
                <w:sz w:val="24"/>
                <w:szCs w:val="24"/>
                <w:u w:val="none"/>
              </w:rPr>
            </w:pPr>
          </w:p>
        </w:tc>
      </w:tr>
      <w:tr w14:paraId="342E5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0" w:type="auto"/>
            <w:gridSpan w:val="8"/>
            <w:tcBorders>
              <w:top w:val="single" w:color="000000" w:sz="4" w:space="0"/>
              <w:left w:val="single" w:color="000000" w:sz="4" w:space="0"/>
              <w:bottom w:val="single" w:color="000000" w:sz="4" w:space="0"/>
              <w:right w:val="single" w:color="000000" w:sz="4" w:space="0"/>
            </w:tcBorders>
            <w:shd w:val="clear"/>
            <w:noWrap/>
            <w:vAlign w:val="center"/>
          </w:tcPr>
          <w:p w14:paraId="7B6FA3C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合  计      （开具发票税率</w:t>
            </w:r>
            <w:r>
              <w:rPr>
                <w:rFonts w:hint="eastAsia" w:ascii="宋体" w:hAnsi="宋体" w:eastAsia="宋体" w:cs="宋体"/>
                <w:b/>
                <w:bCs/>
                <w:i w:val="0"/>
                <w:iCs w:val="0"/>
                <w:color w:val="000000"/>
                <w:kern w:val="0"/>
                <w:sz w:val="24"/>
                <w:szCs w:val="24"/>
                <w:u w:val="single"/>
                <w:bdr w:val="none" w:color="auto" w:sz="0" w:space="0"/>
                <w:lang w:val="en-US" w:eastAsia="zh-CN" w:bidi="ar"/>
              </w:rPr>
              <w:t>：       %</w:t>
            </w:r>
            <w:r>
              <w:rPr>
                <w:rFonts w:hint="eastAsia" w:ascii="宋体" w:hAnsi="宋体" w:eastAsia="宋体" w:cs="宋体"/>
                <w:b/>
                <w:bCs/>
                <w:i w:val="0"/>
                <w:iCs w:val="0"/>
                <w:color w:val="000000"/>
                <w:kern w:val="0"/>
                <w:sz w:val="24"/>
                <w:szCs w:val="24"/>
                <w:u w:val="none"/>
                <w:bdr w:val="none" w:color="auto" w:sz="0" w:space="0"/>
                <w:lang w:val="en-US" w:eastAsia="zh-CN" w:bidi="ar"/>
              </w:rPr>
              <w:t>）</w:t>
            </w:r>
          </w:p>
        </w:tc>
      </w:tr>
      <w:tr w14:paraId="11759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20" w:hRule="atLeast"/>
        </w:trPr>
        <w:tc>
          <w:tcPr>
            <w:tcW w:w="0" w:type="auto"/>
            <w:gridSpan w:val="8"/>
            <w:tcBorders>
              <w:top w:val="single" w:color="000000" w:sz="4" w:space="0"/>
              <w:left w:val="single" w:color="000000" w:sz="4" w:space="0"/>
              <w:bottom w:val="single" w:color="000000" w:sz="4" w:space="0"/>
              <w:right w:val="single" w:color="000000" w:sz="4" w:space="0"/>
            </w:tcBorders>
            <w:shd w:val="clear"/>
            <w:vAlign w:val="center"/>
          </w:tcPr>
          <w:p w14:paraId="2DA62B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bdr w:val="none" w:color="auto" w:sz="0" w:space="0"/>
                <w:lang w:val="en-US" w:eastAsia="zh-CN" w:bidi="ar"/>
              </w:rPr>
            </w:pPr>
            <w:r>
              <w:rPr>
                <w:rFonts w:hint="eastAsia" w:ascii="宋体" w:hAnsi="宋体" w:eastAsia="宋体" w:cs="宋体"/>
                <w:i w:val="0"/>
                <w:iCs w:val="0"/>
                <w:color w:val="000000"/>
                <w:kern w:val="0"/>
                <w:sz w:val="22"/>
                <w:szCs w:val="22"/>
                <w:u w:val="none"/>
                <w:bdr w:val="none" w:color="auto" w:sz="0" w:space="0"/>
                <w:lang w:val="en-US" w:eastAsia="zh-CN" w:bidi="ar"/>
              </w:rPr>
              <w:t xml:space="preserve">备注：1.以上价格为含税到场（泸州市合江县高速路口）综合包干价，含买价、运费、运输损耗、换车型造成的二次转运费、利润、各种风险费用、税金等全部费用。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2.要求开具的发票为一般纳税人增值税专票（13%税率）。</w:t>
            </w:r>
          </w:p>
          <w:p w14:paraId="3FF2BB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单次使用混凝土数量在60立方以上允许补料一次不加收运费，如二次补料及单次使用混凝土数量低于6m3，另外收取150元/车次的燃油补贴、单次泵送数量不足60m³的，按照60m³（1200元一个台班计算，一个台班时间为从进料起8小时以内）收取泵送费；</w:t>
            </w:r>
            <w:r>
              <w:rPr>
                <w:rFonts w:hint="eastAsia" w:ascii="宋体" w:hAnsi="宋体" w:eastAsia="宋体" w:cs="宋体"/>
                <w:i w:val="0"/>
                <w:iCs w:val="0"/>
                <w:color w:val="000000"/>
                <w:kern w:val="0"/>
                <w:sz w:val="22"/>
                <w:szCs w:val="22"/>
                <w:u w:val="none"/>
                <w:lang w:val="en-US" w:eastAsia="zh-CN" w:bidi="ar"/>
              </w:rPr>
              <w:t>空转费：少于5m</w:t>
            </w:r>
            <w:r>
              <w:rPr>
                <w:rFonts w:hint="eastAsia" w:ascii="宋体" w:hAnsi="宋体" w:eastAsia="宋体" w:cs="宋体"/>
                <w:i w:val="0"/>
                <w:iCs w:val="0"/>
                <w:color w:val="000000"/>
                <w:kern w:val="0"/>
                <w:sz w:val="22"/>
                <w:szCs w:val="22"/>
                <w:u w:val="none"/>
                <w:vertAlign w:val="superscript"/>
                <w:lang w:val="en-US" w:eastAsia="zh-CN" w:bidi="ar"/>
              </w:rPr>
              <w:t>3</w:t>
            </w:r>
            <w:r>
              <w:rPr>
                <w:rFonts w:hint="eastAsia" w:ascii="宋体" w:hAnsi="宋体" w:eastAsia="宋体" w:cs="宋体"/>
                <w:i w:val="0"/>
                <w:iCs w:val="0"/>
                <w:color w:val="000000"/>
                <w:kern w:val="0"/>
                <w:sz w:val="22"/>
                <w:szCs w:val="22"/>
                <w:u w:val="none"/>
                <w:lang w:val="en-US" w:eastAsia="zh-CN" w:bidi="ar"/>
              </w:rPr>
              <w:t>时，每车补100元</w:t>
            </w:r>
            <w:r>
              <w:rPr>
                <w:rFonts w:hint="eastAsia" w:ascii="宋体" w:hAnsi="宋体" w:cs="宋体"/>
                <w:i w:val="0"/>
                <w:iCs w:val="0"/>
                <w:color w:val="000000"/>
                <w:kern w:val="0"/>
                <w:sz w:val="22"/>
                <w:szCs w:val="22"/>
                <w:u w:val="none"/>
                <w:lang w:val="en-US" w:eastAsia="zh-CN" w:bidi="ar"/>
              </w:rPr>
              <w:t>。</w:t>
            </w:r>
          </w:p>
        </w:tc>
      </w:tr>
    </w:tbl>
    <w:p w14:paraId="76CB46C2">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auto"/>
          <w:sz w:val="30"/>
          <w:szCs w:val="30"/>
          <w:highlight w:val="none"/>
          <w:lang w:val="en-US" w:eastAsia="zh-CN"/>
        </w:rPr>
      </w:pPr>
      <w:r>
        <w:rPr>
          <w:rFonts w:hint="eastAsia" w:ascii="仿宋" w:hAnsi="仿宋" w:eastAsia="仿宋" w:cs="仿宋_GB2312"/>
          <w:color w:val="auto"/>
          <w:kern w:val="0"/>
          <w:sz w:val="30"/>
          <w:szCs w:val="30"/>
          <w:highlight w:val="none"/>
        </w:rPr>
        <w:t>5.1、</w:t>
      </w:r>
      <w:r>
        <w:rPr>
          <w:rFonts w:hint="eastAsia" w:ascii="仿宋" w:hAnsi="仿宋" w:eastAsia="仿宋" w:cs="仿宋_GB2312"/>
          <w:color w:val="auto"/>
          <w:sz w:val="30"/>
          <w:szCs w:val="30"/>
          <w:highlight w:val="none"/>
        </w:rPr>
        <w:t>以上单价</w:t>
      </w:r>
      <w:r>
        <w:rPr>
          <w:rFonts w:hint="eastAsia" w:ascii="仿宋" w:hAnsi="仿宋" w:eastAsia="仿宋" w:cs="仿宋_GB2312"/>
          <w:color w:val="auto"/>
          <w:sz w:val="30"/>
          <w:szCs w:val="30"/>
          <w:highlight w:val="none"/>
          <w:lang w:val="en-US" w:eastAsia="zh-CN"/>
        </w:rPr>
        <w:t>含税含运输至工程地点的费用</w:t>
      </w:r>
      <w:r>
        <w:rPr>
          <w:rFonts w:hint="eastAsia" w:ascii="仿宋" w:hAnsi="仿宋" w:eastAsia="仿宋" w:cs="仿宋_GB2312"/>
          <w:color w:val="auto"/>
          <w:sz w:val="30"/>
          <w:szCs w:val="30"/>
          <w:highlight w:val="none"/>
        </w:rPr>
        <w:t>不含泵送费，如需泵送则另加收泵送费</w:t>
      </w:r>
      <w:r>
        <w:rPr>
          <w:rFonts w:hint="eastAsia" w:ascii="仿宋" w:hAnsi="仿宋" w:eastAsia="仿宋" w:cs="仿宋_GB2312"/>
          <w:color w:val="auto"/>
          <w:sz w:val="30"/>
          <w:szCs w:val="30"/>
          <w:highlight w:val="none"/>
          <w:lang w:val="en-US" w:eastAsia="zh-CN"/>
        </w:rPr>
        <w:t>,费用详上表。</w:t>
      </w:r>
    </w:p>
    <w:p w14:paraId="56911B71">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auto"/>
          <w:sz w:val="30"/>
          <w:szCs w:val="30"/>
          <w:highlight w:val="none"/>
        </w:rPr>
      </w:pPr>
      <w:r>
        <w:rPr>
          <w:rFonts w:hint="eastAsia" w:ascii="仿宋" w:hAnsi="仿宋" w:eastAsia="仿宋" w:cs="仿宋_GB2312"/>
          <w:color w:val="auto"/>
          <w:sz w:val="30"/>
          <w:szCs w:val="30"/>
          <w:highlight w:val="none"/>
        </w:rPr>
        <w:t>5.2、</w:t>
      </w:r>
      <w:r>
        <w:rPr>
          <w:rFonts w:hint="eastAsia" w:ascii="仿宋" w:hAnsi="仿宋" w:eastAsia="仿宋" w:cs="仿宋_GB2312"/>
          <w:color w:val="auto"/>
          <w:sz w:val="30"/>
          <w:szCs w:val="30"/>
          <w:highlight w:val="none"/>
          <w:lang w:val="en-US" w:eastAsia="zh-CN"/>
        </w:rPr>
        <w:t>如</w:t>
      </w:r>
      <w:r>
        <w:rPr>
          <w:rFonts w:hint="eastAsia" w:ascii="仿宋" w:hAnsi="仿宋" w:eastAsia="仿宋" w:cs="仿宋_GB2312"/>
          <w:color w:val="auto"/>
          <w:sz w:val="30"/>
          <w:szCs w:val="30"/>
          <w:highlight w:val="none"/>
        </w:rPr>
        <w:t>工地免费提供直径不低于10cm的水源接口清洗泵管及</w:t>
      </w:r>
      <w:r>
        <w:rPr>
          <w:rFonts w:hint="eastAsia" w:ascii="仿宋" w:hAnsi="仿宋" w:eastAsia="仿宋" w:cs="仿宋_GB2312"/>
          <w:color w:val="auto"/>
          <w:sz w:val="30"/>
          <w:szCs w:val="30"/>
          <w:highlight w:val="none"/>
          <w:lang w:eastAsia="zh-CN"/>
        </w:rPr>
        <w:t>清洗</w:t>
      </w:r>
      <w:r>
        <w:rPr>
          <w:rFonts w:hint="eastAsia" w:ascii="仿宋" w:hAnsi="仿宋" w:eastAsia="仿宋" w:cs="仿宋_GB2312"/>
          <w:color w:val="auto"/>
          <w:sz w:val="30"/>
          <w:szCs w:val="30"/>
          <w:highlight w:val="none"/>
        </w:rPr>
        <w:t>车辆</w:t>
      </w:r>
      <w:r>
        <w:rPr>
          <w:rFonts w:hint="eastAsia" w:ascii="仿宋" w:hAnsi="仿宋" w:eastAsia="仿宋" w:cs="仿宋_GB2312"/>
          <w:color w:val="auto"/>
          <w:sz w:val="30"/>
          <w:szCs w:val="30"/>
          <w:highlight w:val="none"/>
          <w:lang w:eastAsia="zh-CN"/>
        </w:rPr>
        <w:t>，</w:t>
      </w:r>
      <w:r>
        <w:rPr>
          <w:rFonts w:hint="eastAsia" w:ascii="仿宋" w:hAnsi="仿宋" w:eastAsia="仿宋" w:cs="仿宋_GB2312"/>
          <w:color w:val="auto"/>
          <w:sz w:val="30"/>
          <w:szCs w:val="30"/>
          <w:highlight w:val="none"/>
          <w:lang w:val="en-US" w:eastAsia="zh-CN"/>
        </w:rPr>
        <w:t>则不加收</w:t>
      </w:r>
      <w:r>
        <w:rPr>
          <w:rFonts w:hint="eastAsia" w:ascii="仿宋" w:hAnsi="仿宋" w:eastAsia="仿宋" w:cs="仿宋_GB2312"/>
          <w:color w:val="auto"/>
          <w:sz w:val="30"/>
          <w:szCs w:val="30"/>
          <w:highlight w:val="none"/>
        </w:rPr>
        <w:t>清洗泵管</w:t>
      </w:r>
      <w:r>
        <w:rPr>
          <w:rFonts w:hint="eastAsia" w:ascii="仿宋" w:hAnsi="仿宋" w:eastAsia="仿宋" w:cs="仿宋_GB2312"/>
          <w:color w:val="auto"/>
          <w:sz w:val="30"/>
          <w:szCs w:val="30"/>
          <w:highlight w:val="none"/>
          <w:lang w:val="en-US" w:eastAsia="zh-CN"/>
        </w:rPr>
        <w:t>水费</w:t>
      </w:r>
      <w:r>
        <w:rPr>
          <w:rFonts w:hint="eastAsia" w:ascii="仿宋" w:hAnsi="仿宋" w:eastAsia="仿宋" w:cs="仿宋_GB2312"/>
          <w:color w:val="auto"/>
          <w:sz w:val="30"/>
          <w:szCs w:val="30"/>
          <w:highlight w:val="none"/>
        </w:rPr>
        <w:t>。</w:t>
      </w:r>
    </w:p>
    <w:p w14:paraId="7425CD22">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auto"/>
          <w:sz w:val="30"/>
          <w:szCs w:val="30"/>
          <w:highlight w:val="none"/>
        </w:rPr>
        <w:t>5.</w:t>
      </w:r>
      <w:r>
        <w:rPr>
          <w:rFonts w:hint="eastAsia" w:ascii="仿宋" w:hAnsi="仿宋" w:eastAsia="仿宋" w:cs="仿宋_GB2312"/>
          <w:color w:val="auto"/>
          <w:sz w:val="30"/>
          <w:szCs w:val="30"/>
          <w:highlight w:val="none"/>
          <w:lang w:val="en-US" w:eastAsia="zh-CN"/>
        </w:rPr>
        <w:t>3</w:t>
      </w:r>
      <w:r>
        <w:rPr>
          <w:rFonts w:hint="eastAsia" w:ascii="仿宋" w:hAnsi="仿宋" w:eastAsia="仿宋" w:cs="仿宋_GB2312"/>
          <w:color w:val="auto"/>
          <w:sz w:val="30"/>
          <w:szCs w:val="30"/>
          <w:highlight w:val="none"/>
        </w:rPr>
        <w:t>、车辆到工程现场</w:t>
      </w:r>
      <w:r>
        <w:rPr>
          <w:rFonts w:hint="eastAsia" w:ascii="仿宋" w:hAnsi="仿宋" w:eastAsia="仿宋" w:cs="仿宋_GB2312"/>
          <w:color w:val="auto"/>
          <w:sz w:val="30"/>
          <w:szCs w:val="30"/>
          <w:highlight w:val="none"/>
          <w:lang w:val="en-US" w:eastAsia="zh-CN"/>
        </w:rPr>
        <w:t>因甲方原因每次浇筑混凝土时间超过90分钟后</w:t>
      </w:r>
      <w:r>
        <w:rPr>
          <w:rFonts w:hint="eastAsia" w:ascii="仿宋" w:hAnsi="仿宋" w:eastAsia="仿宋" w:cs="仿宋_GB2312"/>
          <w:color w:val="auto"/>
          <w:sz w:val="30"/>
          <w:szCs w:val="30"/>
          <w:highlight w:val="none"/>
        </w:rPr>
        <w:t>，按照超过1小时增加</w:t>
      </w:r>
      <w:r>
        <w:rPr>
          <w:rFonts w:hint="eastAsia" w:ascii="仿宋" w:hAnsi="仿宋" w:eastAsia="仿宋" w:cs="仿宋_GB2312"/>
          <w:color w:val="auto"/>
          <w:sz w:val="30"/>
          <w:szCs w:val="30"/>
          <w:highlight w:val="none"/>
          <w:u w:val="single"/>
        </w:rPr>
        <w:t xml:space="preserve"> </w:t>
      </w:r>
      <w:r>
        <w:rPr>
          <w:rFonts w:hint="eastAsia" w:ascii="仿宋" w:hAnsi="仿宋" w:eastAsia="仿宋" w:cs="仿宋_GB2312"/>
          <w:color w:val="auto"/>
          <w:sz w:val="30"/>
          <w:szCs w:val="30"/>
          <w:highlight w:val="none"/>
          <w:u w:val="single"/>
          <w:lang w:val="en-US" w:eastAsia="zh-CN"/>
        </w:rPr>
        <w:t xml:space="preserve">   </w:t>
      </w:r>
      <w:r>
        <w:rPr>
          <w:rFonts w:hint="eastAsia" w:ascii="仿宋" w:hAnsi="仿宋" w:eastAsia="仿宋" w:cs="仿宋_GB2312"/>
          <w:color w:val="auto"/>
          <w:sz w:val="30"/>
          <w:szCs w:val="30"/>
          <w:highlight w:val="none"/>
        </w:rPr>
        <w:t>元每小时油耗及等待费，不足1小时的按1小时计</w:t>
      </w:r>
      <w:r>
        <w:rPr>
          <w:rFonts w:hint="eastAsia" w:ascii="仿宋" w:hAnsi="仿宋" w:eastAsia="仿宋" w:cs="仿宋_GB2312"/>
          <w:color w:val="000000" w:themeColor="text1"/>
          <w:sz w:val="30"/>
          <w:szCs w:val="30"/>
          <w:highlight w:val="none"/>
          <w14:textFill>
            <w14:solidFill>
              <w14:schemeClr w14:val="tx1"/>
            </w14:solidFill>
          </w14:textFill>
        </w:rPr>
        <w:t>算。</w:t>
      </w:r>
    </w:p>
    <w:p w14:paraId="5C8869D8">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vertAlign w:val="superscript"/>
          <w:lang w:val="en-US" w:eastAsia="zh-CN"/>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5.</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4</w:t>
      </w:r>
      <w:r>
        <w:rPr>
          <w:rFonts w:hint="eastAsia" w:ascii="仿宋" w:hAnsi="仿宋" w:eastAsia="仿宋" w:cs="仿宋_GB2312"/>
          <w:color w:val="000000" w:themeColor="text1"/>
          <w:sz w:val="30"/>
          <w:szCs w:val="30"/>
          <w:highlight w:val="none"/>
          <w14:textFill>
            <w14:solidFill>
              <w14:schemeClr w14:val="tx1"/>
            </w14:solidFill>
          </w14:textFill>
        </w:rPr>
        <w:t>、抗渗混凝土在各强度等级单价上P</w:t>
      </w:r>
      <w:r>
        <w:rPr>
          <w:rFonts w:hint="eastAsia" w:ascii="仿宋" w:hAnsi="仿宋" w:eastAsia="仿宋" w:cs="仿宋_GB2312"/>
          <w:color w:val="000000" w:themeColor="text1"/>
          <w:sz w:val="30"/>
          <w:szCs w:val="30"/>
          <w:highlight w:val="none"/>
          <w:vertAlign w:val="subscript"/>
          <w14:textFill>
            <w14:solidFill>
              <w14:schemeClr w14:val="tx1"/>
            </w14:solidFill>
          </w14:textFill>
        </w:rPr>
        <w:t>6</w:t>
      </w:r>
      <w:r>
        <w:rPr>
          <w:rFonts w:hint="eastAsia" w:ascii="仿宋" w:hAnsi="仿宋" w:eastAsia="仿宋" w:cs="仿宋_GB2312"/>
          <w:color w:val="000000" w:themeColor="text1"/>
          <w:sz w:val="30"/>
          <w:szCs w:val="30"/>
          <w:highlight w:val="none"/>
          <w14:textFill>
            <w14:solidFill>
              <w14:schemeClr w14:val="tx1"/>
            </w14:solidFill>
          </w14:textFill>
        </w:rPr>
        <w:t>增加</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20 </w:t>
      </w:r>
      <w:r>
        <w:rPr>
          <w:rFonts w:hint="eastAsia" w:ascii="仿宋" w:hAnsi="仿宋" w:eastAsia="仿宋" w:cs="仿宋_GB2312"/>
          <w:color w:val="000000" w:themeColor="text1"/>
          <w:sz w:val="30"/>
          <w:szCs w:val="30"/>
          <w:highlight w:val="none"/>
          <w14:textFill>
            <w14:solidFill>
              <w14:schemeClr w14:val="tx1"/>
            </w14:solidFill>
          </w14:textFill>
        </w:rPr>
        <w:t>元/ m</w:t>
      </w:r>
      <w:r>
        <w:rPr>
          <w:rFonts w:hint="eastAsia" w:ascii="仿宋" w:hAnsi="仿宋" w:eastAsia="仿宋" w:cs="仿宋_GB2312"/>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，P</w:t>
      </w:r>
      <w:r>
        <w:rPr>
          <w:rFonts w:hint="eastAsia" w:ascii="仿宋" w:hAnsi="仿宋" w:eastAsia="仿宋" w:cs="仿宋_GB2312"/>
          <w:color w:val="000000" w:themeColor="text1"/>
          <w:sz w:val="30"/>
          <w:szCs w:val="30"/>
          <w:highlight w:val="none"/>
          <w:vertAlign w:val="subscript"/>
          <w14:textFill>
            <w14:solidFill>
              <w14:schemeClr w14:val="tx1"/>
            </w14:solidFill>
          </w14:textFill>
        </w:rPr>
        <w:t>8</w:t>
      </w:r>
      <w:r>
        <w:rPr>
          <w:rFonts w:hint="eastAsia" w:ascii="仿宋" w:hAnsi="仿宋" w:eastAsia="仿宋" w:cs="仿宋_GB2312"/>
          <w:color w:val="000000" w:themeColor="text1"/>
          <w:sz w:val="30"/>
          <w:szCs w:val="30"/>
          <w:highlight w:val="none"/>
          <w14:textFill>
            <w14:solidFill>
              <w14:schemeClr w14:val="tx1"/>
            </w14:solidFill>
          </w14:textFill>
        </w:rPr>
        <w:t>增加</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25 </w:t>
      </w:r>
      <w:r>
        <w:rPr>
          <w:rFonts w:hint="eastAsia" w:ascii="仿宋" w:hAnsi="仿宋" w:eastAsia="仿宋" w:cs="仿宋_GB2312"/>
          <w:color w:val="000000" w:themeColor="text1"/>
          <w:sz w:val="30"/>
          <w:szCs w:val="30"/>
          <w:highlight w:val="none"/>
          <w14:textFill>
            <w14:solidFill>
              <w14:schemeClr w14:val="tx1"/>
            </w14:solidFill>
          </w14:textFill>
        </w:rPr>
        <w:t>元/ m</w:t>
      </w:r>
      <w:r>
        <w:rPr>
          <w:rFonts w:hint="eastAsia" w:ascii="仿宋" w:hAnsi="仿宋" w:eastAsia="仿宋" w:cs="仿宋_GB2312"/>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，水下混凝土增加</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20 </w:t>
      </w:r>
      <w:r>
        <w:rPr>
          <w:rFonts w:hint="eastAsia" w:ascii="仿宋" w:hAnsi="仿宋" w:eastAsia="仿宋" w:cs="仿宋_GB2312"/>
          <w:color w:val="000000" w:themeColor="text1"/>
          <w:sz w:val="30"/>
          <w:szCs w:val="30"/>
          <w:highlight w:val="none"/>
          <w14:textFill>
            <w14:solidFill>
              <w14:schemeClr w14:val="tx1"/>
            </w14:solidFill>
          </w14:textFill>
        </w:rPr>
        <w:t>元/ m</w:t>
      </w:r>
      <w:r>
        <w:rPr>
          <w:rFonts w:hint="eastAsia" w:ascii="仿宋" w:hAnsi="仿宋" w:eastAsia="仿宋" w:cs="仿宋_GB2312"/>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，膨胀加强带增加</w:t>
      </w:r>
      <w:r>
        <w:rPr>
          <w:rFonts w:hint="eastAsia" w:ascii="仿宋" w:hAnsi="仿宋" w:eastAsia="仿宋" w:cs="仿宋_GB2312"/>
          <w:color w:val="000000" w:themeColor="text1"/>
          <w:sz w:val="30"/>
          <w:szCs w:val="30"/>
          <w:highlight w:val="none"/>
          <w:u w:val="single"/>
          <w14:textFill>
            <w14:solidFill>
              <w14:schemeClr w14:val="tx1"/>
            </w14:solidFill>
          </w14:textFill>
        </w:rPr>
        <w:t xml:space="preserve"> </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20</w:t>
      </w:r>
      <w:r>
        <w:rPr>
          <w:rFonts w:hint="eastAsia" w:ascii="仿宋" w:hAnsi="仿宋" w:eastAsia="仿宋" w:cs="仿宋_GB2312"/>
          <w:color w:val="000000" w:themeColor="text1"/>
          <w:sz w:val="30"/>
          <w:szCs w:val="30"/>
          <w:highlight w:val="none"/>
          <w:u w:val="single"/>
          <w14:textFill>
            <w14:solidFill>
              <w14:schemeClr w14:val="tx1"/>
            </w14:solidFill>
          </w14:textFill>
        </w:rPr>
        <w:t xml:space="preserve"> </w:t>
      </w:r>
      <w:r>
        <w:rPr>
          <w:rFonts w:hint="eastAsia" w:ascii="仿宋" w:hAnsi="仿宋" w:eastAsia="仿宋" w:cs="仿宋_GB2312"/>
          <w:color w:val="000000" w:themeColor="text1"/>
          <w:sz w:val="30"/>
          <w:szCs w:val="30"/>
          <w:highlight w:val="none"/>
          <w14:textFill>
            <w14:solidFill>
              <w14:schemeClr w14:val="tx1"/>
            </w14:solidFill>
          </w14:textFill>
        </w:rPr>
        <w:t>元/m</w:t>
      </w:r>
      <w:r>
        <w:rPr>
          <w:rFonts w:hint="eastAsia" w:ascii="仿宋" w:hAnsi="仿宋" w:eastAsia="仿宋" w:cs="仿宋_GB2312"/>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，聚丙烯纤维混凝土增加</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20</w:t>
      </w:r>
      <w:r>
        <w:rPr>
          <w:rFonts w:hint="eastAsia" w:ascii="仿宋" w:hAnsi="仿宋" w:eastAsia="仿宋" w:cs="仿宋_GB2312"/>
          <w:color w:val="000000" w:themeColor="text1"/>
          <w:sz w:val="30"/>
          <w:szCs w:val="30"/>
          <w:highlight w:val="none"/>
          <w:u w:val="single"/>
          <w14:textFill>
            <w14:solidFill>
              <w14:schemeClr w14:val="tx1"/>
            </w14:solidFill>
          </w14:textFill>
        </w:rPr>
        <w:t xml:space="preserve"> </w:t>
      </w:r>
      <w:r>
        <w:rPr>
          <w:rFonts w:hint="eastAsia" w:ascii="仿宋" w:hAnsi="仿宋" w:eastAsia="仿宋" w:cs="仿宋_GB2312"/>
          <w:color w:val="000000" w:themeColor="text1"/>
          <w:sz w:val="30"/>
          <w:szCs w:val="30"/>
          <w:highlight w:val="none"/>
          <w14:textFill>
            <w14:solidFill>
              <w14:schemeClr w14:val="tx1"/>
            </w14:solidFill>
          </w14:textFill>
        </w:rPr>
        <w:t>元/ m</w:t>
      </w:r>
      <w:r>
        <w:rPr>
          <w:rFonts w:hint="eastAsia" w:ascii="仿宋" w:hAnsi="仿宋" w:eastAsia="仿宋" w:cs="仿宋_GB2312"/>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，细石混凝土增加</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20 </w:t>
      </w:r>
      <w:r>
        <w:rPr>
          <w:rFonts w:hint="eastAsia" w:ascii="仿宋" w:hAnsi="仿宋" w:eastAsia="仿宋" w:cs="仿宋_GB2312"/>
          <w:color w:val="000000" w:themeColor="text1"/>
          <w:sz w:val="30"/>
          <w:szCs w:val="30"/>
          <w:highlight w:val="none"/>
          <w14:textFill>
            <w14:solidFill>
              <w14:schemeClr w14:val="tx1"/>
            </w14:solidFill>
          </w14:textFill>
        </w:rPr>
        <w:t>元/ m</w:t>
      </w:r>
      <w:r>
        <w:rPr>
          <w:rFonts w:hint="eastAsia" w:ascii="仿宋" w:hAnsi="仿宋" w:eastAsia="仿宋" w:cs="仿宋_GB2312"/>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w:t>
      </w:r>
    </w:p>
    <w:p w14:paraId="0DF9AC4D">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lang w:val="en-US" w:eastAsia="zh-CN"/>
          <w14:textFill>
            <w14:solidFill>
              <w14:schemeClr w14:val="tx1"/>
            </w14:solidFill>
          </w14:textFill>
        </w:rPr>
        <w:t>5.5</w:t>
      </w:r>
      <w:r>
        <w:rPr>
          <w:rFonts w:hint="eastAsia" w:ascii="仿宋" w:hAnsi="仿宋" w:eastAsia="仿宋" w:cs="仿宋_GB2312"/>
          <w:color w:val="000000" w:themeColor="text1"/>
          <w:sz w:val="30"/>
          <w:szCs w:val="30"/>
          <w:highlight w:val="none"/>
          <w14:textFill>
            <w14:solidFill>
              <w14:schemeClr w14:val="tx1"/>
            </w14:solidFill>
          </w14:textFill>
        </w:rPr>
        <w:t>、</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单</w:t>
      </w:r>
      <w:r>
        <w:rPr>
          <w:rFonts w:hint="eastAsia" w:ascii="仿宋" w:hAnsi="仿宋" w:eastAsia="仿宋" w:cs="仿宋_GB2312"/>
          <w:color w:val="000000" w:themeColor="text1"/>
          <w:sz w:val="30"/>
          <w:szCs w:val="30"/>
          <w:highlight w:val="none"/>
          <w14:textFill>
            <w14:solidFill>
              <w14:schemeClr w14:val="tx1"/>
            </w14:solidFill>
          </w14:textFill>
        </w:rPr>
        <w:t>次使用混凝土数量在</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6</w:t>
      </w:r>
      <w:r>
        <w:rPr>
          <w:rFonts w:hint="eastAsia" w:ascii="仿宋" w:hAnsi="仿宋" w:eastAsia="仿宋" w:cs="仿宋_GB2312"/>
          <w:color w:val="000000" w:themeColor="text1"/>
          <w:sz w:val="30"/>
          <w:szCs w:val="30"/>
          <w:highlight w:val="none"/>
          <w14:textFill>
            <w14:solidFill>
              <w14:schemeClr w14:val="tx1"/>
            </w14:solidFill>
          </w14:textFill>
        </w:rPr>
        <w:t>0立方以上允许补料一次不加收运费，如二次补料</w:t>
      </w:r>
      <w:r>
        <w:rPr>
          <w:rFonts w:hint="eastAsia" w:ascii="仿宋" w:hAnsi="仿宋" w:eastAsia="仿宋" w:cs="仿宋_GB2312"/>
          <w:strike w:val="0"/>
          <w:dstrike w:val="0"/>
          <w:color w:val="000000" w:themeColor="text1"/>
          <w:sz w:val="30"/>
          <w:szCs w:val="30"/>
          <w:highlight w:val="none"/>
          <w14:textFill>
            <w14:solidFill>
              <w14:schemeClr w14:val="tx1"/>
            </w14:solidFill>
          </w14:textFill>
        </w:rPr>
        <w:t>及单次使用混凝土数量低于</w:t>
      </w:r>
      <w:r>
        <w:rPr>
          <w:rFonts w:hint="eastAsia" w:ascii="仿宋" w:hAnsi="仿宋" w:eastAsia="仿宋" w:cs="仿宋_GB2312"/>
          <w:strike w:val="0"/>
          <w:dstrike w:val="0"/>
          <w:color w:val="000000" w:themeColor="text1"/>
          <w:sz w:val="30"/>
          <w:szCs w:val="30"/>
          <w:highlight w:val="none"/>
          <w:lang w:val="en-US" w:eastAsia="zh-CN"/>
          <w14:textFill>
            <w14:solidFill>
              <w14:schemeClr w14:val="tx1"/>
            </w14:solidFill>
          </w14:textFill>
        </w:rPr>
        <w:t>6</w:t>
      </w:r>
      <w:r>
        <w:rPr>
          <w:rFonts w:hint="eastAsia" w:ascii="仿宋" w:hAnsi="仿宋" w:eastAsia="仿宋" w:cs="仿宋_GB2312"/>
          <w:strike w:val="0"/>
          <w:dstrike w:val="0"/>
          <w:color w:val="000000" w:themeColor="text1"/>
          <w:sz w:val="30"/>
          <w:szCs w:val="30"/>
          <w:highlight w:val="none"/>
          <w14:textFill>
            <w14:solidFill>
              <w14:schemeClr w14:val="tx1"/>
            </w14:solidFill>
          </w14:textFill>
        </w:rPr>
        <w:t>m</w:t>
      </w:r>
      <w:r>
        <w:rPr>
          <w:rFonts w:hint="eastAsia" w:ascii="仿宋" w:hAnsi="仿宋" w:eastAsia="仿宋" w:cs="仿宋_GB2312"/>
          <w:strike w:val="0"/>
          <w:dstrike w:val="0"/>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strike w:val="0"/>
          <w:dstrike w:val="0"/>
          <w:color w:val="000000" w:themeColor="text1"/>
          <w:sz w:val="30"/>
          <w:szCs w:val="30"/>
          <w:highlight w:val="none"/>
          <w14:textFill>
            <w14:solidFill>
              <w14:schemeClr w14:val="tx1"/>
            </w14:solidFill>
          </w14:textFill>
        </w:rPr>
        <w:t>，</w:t>
      </w:r>
      <w:r>
        <w:rPr>
          <w:rFonts w:hint="eastAsia" w:ascii="仿宋" w:hAnsi="仿宋" w:eastAsia="仿宋" w:cs="仿宋_GB2312"/>
          <w:color w:val="000000" w:themeColor="text1"/>
          <w:sz w:val="30"/>
          <w:szCs w:val="30"/>
          <w:highlight w:val="none"/>
          <w14:textFill>
            <w14:solidFill>
              <w14:schemeClr w14:val="tx1"/>
            </w14:solidFill>
          </w14:textFill>
        </w:rPr>
        <w:t>另外收取</w:t>
      </w:r>
      <w:r>
        <w:rPr>
          <w:rFonts w:hint="eastAsia" w:ascii="仿宋" w:hAnsi="仿宋" w:eastAsia="仿宋" w:cs="仿宋_GB2312"/>
          <w:b/>
          <w:bCs/>
          <w:color w:val="000000" w:themeColor="text1"/>
          <w:sz w:val="30"/>
          <w:szCs w:val="30"/>
          <w:highlight w:val="none"/>
          <w:u w:val="single"/>
          <w:lang w:val="en-US" w:eastAsia="zh-CN"/>
          <w14:textFill>
            <w14:solidFill>
              <w14:schemeClr w14:val="tx1"/>
            </w14:solidFill>
          </w14:textFill>
        </w:rPr>
        <w:t xml:space="preserve"> 150 </w:t>
      </w:r>
      <w:r>
        <w:rPr>
          <w:rFonts w:hint="eastAsia" w:ascii="仿宋" w:hAnsi="仿宋" w:eastAsia="仿宋" w:cs="仿宋_GB2312"/>
          <w:color w:val="000000" w:themeColor="text1"/>
          <w:sz w:val="30"/>
          <w:szCs w:val="30"/>
          <w:highlight w:val="none"/>
          <w14:textFill>
            <w14:solidFill>
              <w14:schemeClr w14:val="tx1"/>
            </w14:solidFill>
          </w14:textFill>
        </w:rPr>
        <w:t>元/车次的燃油补贴。</w:t>
      </w:r>
    </w:p>
    <w:p w14:paraId="5E3C8CCB">
      <w:pPr>
        <w:pStyle w:val="2"/>
        <w:ind w:firstLine="600" w:firstLineChars="200"/>
        <w:rPr>
          <w:rFonts w:hint="eastAsia" w:ascii="仿宋" w:hAnsi="仿宋" w:eastAsia="仿宋" w:cs="仿宋_GB2312"/>
          <w:color w:val="000000" w:themeColor="text1"/>
          <w:kern w:val="2"/>
          <w:sz w:val="30"/>
          <w:szCs w:val="30"/>
          <w:highlight w:val="none"/>
          <w:lang w:val="en-US" w:eastAsia="zh-CN" w:bidi="ar-SA"/>
          <w14:textFill>
            <w14:solidFill>
              <w14:schemeClr w14:val="tx1"/>
            </w14:solidFill>
          </w14:textFill>
        </w:rPr>
      </w:pPr>
      <w:r>
        <w:rPr>
          <w:rFonts w:hint="eastAsia" w:ascii="仿宋" w:hAnsi="仿宋" w:eastAsia="仿宋" w:cs="仿宋_GB2312"/>
          <w:color w:val="000000" w:themeColor="text1"/>
          <w:kern w:val="2"/>
          <w:sz w:val="30"/>
          <w:szCs w:val="30"/>
          <w:highlight w:val="none"/>
          <w:lang w:val="en-US" w:eastAsia="zh-CN" w:bidi="ar-SA"/>
          <w14:textFill>
            <w14:solidFill>
              <w14:schemeClr w14:val="tx1"/>
            </w14:solidFill>
          </w14:textFill>
        </w:rPr>
        <w:t>5.6单次泵送数量不足60m³的，按照60m³（1200元一个台班计算，一个台班时间为从进料起8小时以内）收取泵送费；</w:t>
      </w:r>
    </w:p>
    <w:p w14:paraId="59A9821D">
      <w:pPr>
        <w:pStyle w:val="2"/>
        <w:ind w:firstLine="600" w:firstLineChars="200"/>
        <w:rPr>
          <w:rFonts w:hint="eastAsia" w:ascii="仿宋" w:hAnsi="仿宋" w:eastAsia="仿宋" w:cs="仿宋_GB2312"/>
          <w:color w:val="000000" w:themeColor="text1"/>
          <w:kern w:val="2"/>
          <w:sz w:val="30"/>
          <w:szCs w:val="30"/>
          <w:highlight w:val="none"/>
          <w:lang w:val="en-US" w:eastAsia="zh-CN" w:bidi="ar-SA"/>
          <w14:textFill>
            <w14:solidFill>
              <w14:schemeClr w14:val="tx1"/>
            </w14:solidFill>
          </w14:textFill>
        </w:rPr>
      </w:pPr>
      <w:r>
        <w:rPr>
          <w:rFonts w:hint="eastAsia" w:ascii="仿宋" w:hAnsi="仿宋" w:eastAsia="仿宋" w:cs="仿宋_GB2312"/>
          <w:color w:val="000000" w:themeColor="text1"/>
          <w:kern w:val="2"/>
          <w:sz w:val="30"/>
          <w:szCs w:val="30"/>
          <w:highlight w:val="none"/>
          <w:lang w:val="en-US" w:eastAsia="zh-CN" w:bidi="ar-SA"/>
          <w14:textFill>
            <w14:solidFill>
              <w14:schemeClr w14:val="tx1"/>
            </w14:solidFill>
          </w14:textFill>
        </w:rPr>
        <w:t>5.7洗泵水</w:t>
      </w:r>
      <w:r>
        <w:rPr>
          <w:rFonts w:hint="eastAsia" w:ascii="仿宋" w:hAnsi="仿宋" w:eastAsia="仿宋" w:cs="仿宋_GB2312"/>
          <w:color w:val="000000" w:themeColor="text1"/>
          <w:kern w:val="2"/>
          <w:sz w:val="30"/>
          <w:szCs w:val="30"/>
          <w:highlight w:val="none"/>
          <w:u w:val="single"/>
          <w:lang w:val="en-US" w:eastAsia="zh-CN" w:bidi="ar-SA"/>
          <w14:textFill>
            <w14:solidFill>
              <w14:schemeClr w14:val="tx1"/>
            </w14:solidFill>
          </w14:textFill>
        </w:rPr>
        <w:t xml:space="preserve">     </w:t>
      </w:r>
      <w:r>
        <w:rPr>
          <w:rFonts w:hint="eastAsia" w:ascii="仿宋" w:hAnsi="仿宋" w:eastAsia="仿宋" w:cs="仿宋_GB2312"/>
          <w:color w:val="000000" w:themeColor="text1"/>
          <w:kern w:val="2"/>
          <w:sz w:val="30"/>
          <w:szCs w:val="30"/>
          <w:highlight w:val="none"/>
          <w:lang w:val="en-US" w:eastAsia="zh-CN" w:bidi="ar-SA"/>
          <w14:textFill>
            <w14:solidFill>
              <w14:schemeClr w14:val="tx1"/>
            </w14:solidFill>
          </w14:textFill>
        </w:rPr>
        <w:t>元/车，按实结算；</w:t>
      </w:r>
    </w:p>
    <w:p w14:paraId="1BEB1141">
      <w:pPr>
        <w:pStyle w:val="2"/>
        <w:ind w:firstLine="600" w:firstLineChars="200"/>
        <w:rPr>
          <w:rFonts w:hint="eastAsia" w:ascii="仿宋" w:hAnsi="仿宋" w:eastAsia="仿宋" w:cs="仿宋_GB2312"/>
          <w:color w:val="000000" w:themeColor="text1"/>
          <w:kern w:val="2"/>
          <w:sz w:val="30"/>
          <w:szCs w:val="30"/>
          <w:highlight w:val="none"/>
          <w:lang w:val="en-US" w:eastAsia="zh-CN" w:bidi="ar-SA"/>
          <w14:textFill>
            <w14:solidFill>
              <w14:schemeClr w14:val="tx1"/>
            </w14:solidFill>
          </w14:textFill>
        </w:rPr>
      </w:pPr>
      <w:r>
        <w:rPr>
          <w:rFonts w:hint="eastAsia" w:ascii="仿宋" w:hAnsi="仿宋" w:eastAsia="仿宋" w:cs="仿宋_GB2312"/>
          <w:color w:val="000000" w:themeColor="text1"/>
          <w:kern w:val="2"/>
          <w:sz w:val="30"/>
          <w:szCs w:val="30"/>
          <w:highlight w:val="none"/>
          <w:lang w:val="en-US" w:eastAsia="zh-CN" w:bidi="ar-SA"/>
          <w14:textFill>
            <w14:solidFill>
              <w14:schemeClr w14:val="tx1"/>
            </w14:solidFill>
          </w14:textFill>
        </w:rPr>
        <w:t>5.8预拌混凝土抽检方量按每次开盘鉴定确定的混凝土密度进行计算。</w:t>
      </w:r>
    </w:p>
    <w:p w14:paraId="0FC28046">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14:textFill>
            <w14:solidFill>
              <w14:schemeClr w14:val="tx1"/>
            </w14:solidFill>
          </w14:textFill>
        </w:rPr>
      </w:pPr>
      <w:r>
        <w:rPr>
          <w:rFonts w:hint="eastAsia" w:ascii="仿宋" w:hAnsi="仿宋" w:eastAsia="仿宋" w:cs="仿宋_GB2312"/>
          <w:b/>
          <w:bCs/>
          <w:color w:val="000000" w:themeColor="text1"/>
          <w:sz w:val="30"/>
          <w:szCs w:val="30"/>
          <w:highlight w:val="none"/>
          <w14:textFill>
            <w14:solidFill>
              <w14:schemeClr w14:val="tx1"/>
            </w14:solidFill>
          </w14:textFill>
        </w:rPr>
        <w:t>六、预拌混凝土的计量方式：</w:t>
      </w:r>
    </w:p>
    <w:p w14:paraId="4AF4EFF9">
      <w:pPr>
        <w:keepNext w:val="0"/>
        <w:keepLines w:val="0"/>
        <w:pageBreakBefore w:val="0"/>
        <w:widowControl w:val="0"/>
        <w:kinsoku/>
        <w:wordWrap/>
        <w:overflowPunct/>
        <w:topLinePunct w:val="0"/>
        <w:autoSpaceDE w:val="0"/>
        <w:autoSpaceDN/>
        <w:bidi w:val="0"/>
        <w:adjustRightInd/>
        <w:snapToGrid/>
        <w:spacing w:line="540" w:lineRule="exact"/>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本合同规定按乙方出据的</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经甲方签字的</w:t>
      </w:r>
      <w:r>
        <w:rPr>
          <w:rFonts w:hint="eastAsia" w:ascii="仿宋" w:hAnsi="仿宋" w:eastAsia="仿宋" w:cs="仿宋_GB2312"/>
          <w:color w:val="000000" w:themeColor="text1"/>
          <w:sz w:val="30"/>
          <w:szCs w:val="30"/>
          <w:highlight w:val="none"/>
          <w14:textFill>
            <w14:solidFill>
              <w14:schemeClr w14:val="tx1"/>
            </w14:solidFill>
          </w14:textFill>
        </w:rPr>
        <w:t>运输小票计算的供货量结算方式：</w:t>
      </w:r>
    </w:p>
    <w:p w14:paraId="0963E21E">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6.1、预拌混凝土的供货量按《预拌混凝土》（GB/T14902—2012）的规定执行。以运输车的发货总量（体积）计算，本合同混凝土的密度</w:t>
      </w:r>
      <w:r>
        <w:rPr>
          <w:rFonts w:hint="eastAsia" w:ascii="仿宋" w:hAnsi="仿宋" w:eastAsia="仿宋" w:cs="仿宋_GB2312"/>
          <w:color w:val="000000" w:themeColor="text1"/>
          <w:sz w:val="30"/>
          <w:szCs w:val="30"/>
          <w:highlight w:val="none"/>
          <w:lang w:eastAsia="zh-CN"/>
          <w14:textFill>
            <w14:solidFill>
              <w14:schemeClr w14:val="tx1"/>
            </w14:solidFill>
          </w14:textFill>
        </w:rPr>
        <w:t>（车辆现场浇筑完洗完灌子后）</w:t>
      </w:r>
      <w:r>
        <w:rPr>
          <w:rFonts w:hint="eastAsia" w:ascii="仿宋" w:hAnsi="仿宋" w:eastAsia="仿宋" w:cs="仿宋_GB2312"/>
          <w:color w:val="000000" w:themeColor="text1"/>
          <w:sz w:val="30"/>
          <w:szCs w:val="30"/>
          <w:highlight w:val="none"/>
          <w14:textFill>
            <w14:solidFill>
              <w14:schemeClr w14:val="tx1"/>
            </w14:solidFill>
          </w14:textFill>
        </w:rPr>
        <w:t>根据混凝土强度等级由双方约定，</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C15-C50</w:t>
      </w:r>
      <w:r>
        <w:rPr>
          <w:rFonts w:hint="eastAsia" w:ascii="仿宋" w:hAnsi="仿宋" w:eastAsia="仿宋" w:cs="仿宋_GB2312"/>
          <w:color w:val="000000" w:themeColor="text1"/>
          <w:sz w:val="30"/>
          <w:szCs w:val="30"/>
          <w:highlight w:val="none"/>
          <w14:textFill>
            <w14:solidFill>
              <w14:schemeClr w14:val="tx1"/>
            </w14:solidFill>
          </w14:textFill>
        </w:rPr>
        <w:t>重量</w:t>
      </w:r>
      <w:r>
        <w:rPr>
          <w:rFonts w:hint="eastAsia" w:ascii="仿宋" w:hAnsi="仿宋" w:eastAsia="仿宋" w:cs="仿宋_GB2312"/>
          <w:color w:val="000000" w:themeColor="text1"/>
          <w:sz w:val="30"/>
          <w:szCs w:val="30"/>
          <w:highlight w:val="none"/>
          <w:lang w:eastAsia="zh-CN"/>
          <w14:textFill>
            <w14:solidFill>
              <w14:schemeClr w14:val="tx1"/>
            </w14:solidFill>
          </w14:textFill>
        </w:rPr>
        <w:t>在</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2350</w:t>
      </w:r>
      <w:r>
        <w:rPr>
          <w:rFonts w:hint="eastAsia" w:ascii="仿宋" w:hAnsi="仿宋" w:eastAsia="仿宋" w:cs="仿宋_GB2312"/>
          <w:color w:val="000000" w:themeColor="text1"/>
          <w:sz w:val="30"/>
          <w:szCs w:val="30"/>
          <w:highlight w:val="none"/>
          <w14:textFill>
            <w14:solidFill>
              <w14:schemeClr w14:val="tx1"/>
            </w14:solidFill>
          </w14:textFill>
        </w:rPr>
        <w:t>kg/m</w:t>
      </w:r>
      <w:r>
        <w:rPr>
          <w:rFonts w:hint="eastAsia" w:ascii="仿宋" w:hAnsi="仿宋" w:eastAsia="仿宋" w:cs="仿宋_GB2312"/>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-2410</w:t>
      </w:r>
      <w:r>
        <w:rPr>
          <w:rFonts w:hint="eastAsia" w:ascii="仿宋" w:hAnsi="仿宋" w:eastAsia="仿宋" w:cs="仿宋_GB2312"/>
          <w:color w:val="000000" w:themeColor="text1"/>
          <w:sz w:val="30"/>
          <w:szCs w:val="30"/>
          <w:highlight w:val="none"/>
          <w14:textFill>
            <w14:solidFill>
              <w14:schemeClr w14:val="tx1"/>
            </w14:solidFill>
          </w14:textFill>
        </w:rPr>
        <w:t>kg/m</w:t>
      </w:r>
      <w:r>
        <w:rPr>
          <w:rFonts w:hint="eastAsia" w:ascii="仿宋" w:hAnsi="仿宋" w:eastAsia="仿宋" w:cs="仿宋_GB2312"/>
          <w:color w:val="000000" w:themeColor="text1"/>
          <w:sz w:val="30"/>
          <w:szCs w:val="30"/>
          <w:highlight w:val="none"/>
          <w:vertAlign w:val="superscript"/>
          <w14:textFill>
            <w14:solidFill>
              <w14:schemeClr w14:val="tx1"/>
            </w14:solidFill>
          </w14:textFill>
        </w:rPr>
        <w:t>3</w:t>
      </w:r>
      <w:r>
        <w:rPr>
          <w:rFonts w:hint="eastAsia" w:ascii="仿宋" w:hAnsi="仿宋" w:eastAsia="仿宋" w:cs="仿宋_GB2312"/>
          <w:color w:val="000000" w:themeColor="text1"/>
          <w:sz w:val="30"/>
          <w:szCs w:val="30"/>
          <w:highlight w:val="none"/>
          <w:lang w:eastAsia="zh-CN"/>
          <w14:textFill>
            <w14:solidFill>
              <w14:schemeClr w14:val="tx1"/>
            </w14:solidFill>
          </w14:textFill>
        </w:rPr>
        <w:t>之间。</w:t>
      </w:r>
      <w:r>
        <w:rPr>
          <w:rFonts w:hint="eastAsia" w:ascii="华文仿宋" w:hAnsi="华文仿宋" w:eastAsia="华文仿宋"/>
          <w:color w:val="000000" w:themeColor="text1"/>
          <w:sz w:val="30"/>
          <w:szCs w:val="30"/>
          <w:highlight w:val="none"/>
          <w14:textFill>
            <w14:solidFill>
              <w14:schemeClr w14:val="tx1"/>
            </w14:solidFill>
          </w14:textFill>
        </w:rPr>
        <w:t>若抽检中发现误差超过国家计量允许范围（±</w:t>
      </w:r>
      <w:r>
        <w:rPr>
          <w:rFonts w:hint="eastAsia" w:eastAsia="华文仿宋"/>
          <w:color w:val="000000" w:themeColor="text1"/>
          <w:sz w:val="30"/>
          <w:szCs w:val="30"/>
          <w:highlight w:val="none"/>
          <w14:textFill>
            <w14:solidFill>
              <w14:schemeClr w14:val="tx1"/>
            </w14:solidFill>
          </w14:textFill>
        </w:rPr>
        <w:t>2%</w:t>
      </w:r>
      <w:r>
        <w:rPr>
          <w:rFonts w:hint="eastAsia" w:ascii="华文仿宋" w:hAnsi="华文仿宋" w:eastAsia="华文仿宋"/>
          <w:color w:val="000000" w:themeColor="text1"/>
          <w:sz w:val="30"/>
          <w:szCs w:val="30"/>
          <w:highlight w:val="none"/>
          <w14:textFill>
            <w14:solidFill>
              <w14:schemeClr w14:val="tx1"/>
            </w14:solidFill>
          </w14:textFill>
        </w:rPr>
        <w:t>），则当日运送的预拌混凝土供应量按抽检到平均数的最低标准计算方量，抽检以不低于</w:t>
      </w:r>
      <w:r>
        <w:rPr>
          <w:rFonts w:hint="eastAsia" w:eastAsia="华文仿宋"/>
          <w:color w:val="000000" w:themeColor="text1"/>
          <w:sz w:val="30"/>
          <w:szCs w:val="30"/>
          <w:highlight w:val="none"/>
          <w:lang w:val="en-US" w:eastAsia="zh-CN"/>
          <w14:textFill>
            <w14:solidFill>
              <w14:schemeClr w14:val="tx1"/>
            </w14:solidFill>
          </w14:textFill>
        </w:rPr>
        <w:t>3</w:t>
      </w:r>
      <w:r>
        <w:rPr>
          <w:rFonts w:hint="eastAsia" w:ascii="华文仿宋" w:hAnsi="华文仿宋" w:eastAsia="华文仿宋"/>
          <w:color w:val="000000" w:themeColor="text1"/>
          <w:sz w:val="30"/>
          <w:szCs w:val="30"/>
          <w:highlight w:val="none"/>
          <w14:textFill>
            <w14:solidFill>
              <w14:schemeClr w14:val="tx1"/>
            </w14:solidFill>
          </w14:textFill>
        </w:rPr>
        <w:t>车的平均数为准，在抽检过程中如发现差异较大可以另找第三方进行复核。</w:t>
      </w:r>
      <w:r>
        <w:rPr>
          <w:rFonts w:hint="eastAsia" w:ascii="华文仿宋" w:hAnsi="华文仿宋" w:eastAsia="华文仿宋"/>
          <w:color w:val="000000" w:themeColor="text1"/>
          <w:sz w:val="30"/>
          <w:szCs w:val="30"/>
          <w:highlight w:val="none"/>
          <w:lang w:val="en-US" w:eastAsia="zh-CN"/>
          <w14:textFill>
            <w14:solidFill>
              <w14:schemeClr w14:val="tx1"/>
            </w14:solidFill>
          </w14:textFill>
        </w:rPr>
        <w:t>预拌混凝土抽检方量按每次开盘鉴定确定的混凝土密度进行计算。</w:t>
      </w:r>
    </w:p>
    <w:p w14:paraId="1B3B8E45">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6.</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2</w:t>
      </w:r>
      <w:r>
        <w:rPr>
          <w:rFonts w:hint="eastAsia" w:ascii="仿宋" w:hAnsi="仿宋" w:eastAsia="仿宋" w:cs="仿宋_GB2312"/>
          <w:color w:val="000000" w:themeColor="text1"/>
          <w:sz w:val="30"/>
          <w:szCs w:val="30"/>
          <w:highlight w:val="none"/>
          <w14:textFill>
            <w14:solidFill>
              <w14:schemeClr w14:val="tx1"/>
            </w14:solidFill>
          </w14:textFill>
        </w:rPr>
        <w:t>、每次浇筑混凝土完毕甲方及时签字认定，若有异议，应当自签字认定之时起24小时内提出，另一方必须在24小时内答复，否则均视为认可。</w:t>
      </w:r>
    </w:p>
    <w:p w14:paraId="24B730D7">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14:textFill>
            <w14:solidFill>
              <w14:schemeClr w14:val="tx1"/>
            </w14:solidFill>
          </w14:textFill>
        </w:rPr>
      </w:pPr>
      <w:r>
        <w:rPr>
          <w:rFonts w:hint="eastAsia" w:ascii="仿宋" w:hAnsi="仿宋" w:eastAsia="仿宋" w:cs="仿宋_GB2312"/>
          <w:b/>
          <w:bCs/>
          <w:color w:val="000000" w:themeColor="text1"/>
          <w:sz w:val="30"/>
          <w:szCs w:val="30"/>
          <w:highlight w:val="none"/>
          <w14:textFill>
            <w14:solidFill>
              <w14:schemeClr w14:val="tx1"/>
            </w14:solidFill>
          </w14:textFill>
        </w:rPr>
        <w:t>七、预拌混凝土付款结算方式：</w:t>
      </w:r>
    </w:p>
    <w:p w14:paraId="0C447505">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7.1、本工程预拌混凝土货款支付采取</w:t>
      </w:r>
      <w:r>
        <w:rPr>
          <w:rFonts w:hint="eastAsia" w:ascii="仿宋" w:hAnsi="仿宋" w:eastAsia="仿宋" w:cs="仿宋_GB2312"/>
          <w:color w:val="000000" w:themeColor="text1"/>
          <w:sz w:val="30"/>
          <w:szCs w:val="30"/>
          <w:highlight w:val="none"/>
          <w:lang w:eastAsia="zh-CN"/>
          <w14:textFill>
            <w14:solidFill>
              <w14:schemeClr w14:val="tx1"/>
            </w14:solidFill>
          </w14:textFill>
        </w:rPr>
        <w:t>银行</w:t>
      </w:r>
      <w:r>
        <w:rPr>
          <w:rFonts w:hint="eastAsia" w:ascii="仿宋" w:hAnsi="仿宋" w:eastAsia="仿宋" w:cs="仿宋_GB2312"/>
          <w:color w:val="000000" w:themeColor="text1"/>
          <w:sz w:val="30"/>
          <w:szCs w:val="30"/>
          <w:highlight w:val="none"/>
          <w14:textFill>
            <w14:solidFill>
              <w14:schemeClr w14:val="tx1"/>
            </w14:solidFill>
          </w14:textFill>
        </w:rPr>
        <w:t>转帐方式支付，收款账户必须是乙方指定账户，否则视为未付款。实行一票制，税率为</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13 </w:t>
      </w:r>
      <w:r>
        <w:rPr>
          <w:rFonts w:hint="eastAsia" w:ascii="仿宋" w:hAnsi="仿宋" w:eastAsia="仿宋" w:cs="仿宋_GB2312"/>
          <w:color w:val="000000" w:themeColor="text1"/>
          <w:sz w:val="30"/>
          <w:szCs w:val="30"/>
          <w:highlight w:val="none"/>
          <w14:textFill>
            <w14:solidFill>
              <w14:schemeClr w14:val="tx1"/>
            </w14:solidFill>
          </w14:textFill>
        </w:rPr>
        <w:t>%。</w:t>
      </w:r>
    </w:p>
    <w:p w14:paraId="665E1B91">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b w:val="0"/>
          <w:bCs w:val="0"/>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7.2、甲乙双方对账后，乙方向甲方提供《供货对账确认单》等必要文件，双方核对无误后在对账单上签字确认，此确认单做为甲方向乙方付款依据。乙方应根据对账结算金额向甲方提供等额有效税率为</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13 </w:t>
      </w:r>
      <w:r>
        <w:rPr>
          <w:rFonts w:hint="eastAsia" w:ascii="仿宋" w:hAnsi="仿宋" w:eastAsia="仿宋" w:cs="仿宋_GB2312"/>
          <w:color w:val="000000" w:themeColor="text1"/>
          <w:sz w:val="30"/>
          <w:szCs w:val="30"/>
          <w:highlight w:val="none"/>
          <w14:textFill>
            <w14:solidFill>
              <w14:schemeClr w14:val="tx1"/>
            </w14:solidFill>
          </w14:textFill>
        </w:rPr>
        <w:t>%增值税专用发票。</w:t>
      </w:r>
      <w:r>
        <w:rPr>
          <w:rFonts w:hint="eastAsia" w:ascii="仿宋" w:hAnsi="仿宋" w:eastAsia="仿宋" w:cs="仿宋_GB2312"/>
          <w:b w:val="0"/>
          <w:bCs w:val="0"/>
          <w:color w:val="000000" w:themeColor="text1"/>
          <w:sz w:val="30"/>
          <w:szCs w:val="30"/>
          <w:highlight w:val="none"/>
          <w14:textFill>
            <w14:solidFill>
              <w14:schemeClr w14:val="tx1"/>
            </w14:solidFill>
          </w14:textFill>
        </w:rPr>
        <w:t>在合同执行过程中，如因国家税务政策导致增值税税率发生变化，则对于增值税税率变动生效后发生的增值税应税行为，双方同意保持不含税金额不变，根据变更后的税率调整计算本合同约定</w:t>
      </w:r>
      <w:r>
        <w:rPr>
          <w:rFonts w:hint="eastAsia" w:ascii="仿宋" w:hAnsi="仿宋" w:eastAsia="仿宋" w:cs="仿宋_GB2312"/>
          <w:b w:val="0"/>
          <w:bCs w:val="0"/>
          <w:color w:val="000000" w:themeColor="text1"/>
          <w:sz w:val="30"/>
          <w:szCs w:val="30"/>
          <w:highlight w:val="none"/>
          <w:lang w:eastAsia="zh-CN"/>
          <w14:textFill>
            <w14:solidFill>
              <w14:schemeClr w14:val="tx1"/>
            </w14:solidFill>
          </w14:textFill>
        </w:rPr>
        <w:t>价款</w:t>
      </w:r>
      <w:r>
        <w:rPr>
          <w:rFonts w:hint="eastAsia" w:ascii="仿宋" w:hAnsi="仿宋" w:eastAsia="仿宋" w:cs="仿宋_GB2312"/>
          <w:b w:val="0"/>
          <w:bCs w:val="0"/>
          <w:color w:val="000000" w:themeColor="text1"/>
          <w:sz w:val="30"/>
          <w:szCs w:val="30"/>
          <w:highlight w:val="none"/>
          <w14:textFill>
            <w14:solidFill>
              <w14:schemeClr w14:val="tx1"/>
            </w14:solidFill>
          </w14:textFill>
        </w:rPr>
        <w:t>。</w:t>
      </w:r>
    </w:p>
    <w:p w14:paraId="7263DD10">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7.</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、货款支付方式：</w:t>
      </w:r>
    </w:p>
    <w:p w14:paraId="6E8BA1F9">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lang w:val="en-US"/>
          <w14:textFill>
            <w14:solidFill>
              <w14:schemeClr w14:val="tx1"/>
            </w14:solidFill>
          </w14:textFill>
        </w:rPr>
      </w:pPr>
      <w:r>
        <w:rPr>
          <w:rFonts w:hint="eastAsia" w:ascii="仿宋" w:hAnsi="仿宋" w:eastAsia="仿宋" w:cs="仿宋_GB2312"/>
          <w:b/>
          <w:bCs/>
          <w:color w:val="000000" w:themeColor="text1"/>
          <w:sz w:val="30"/>
          <w:szCs w:val="30"/>
          <w:highlight w:val="none"/>
          <w:lang w:eastAsia="zh-CN"/>
          <w14:textFill>
            <w14:solidFill>
              <w14:schemeClr w14:val="tx1"/>
            </w14:solidFill>
          </w14:textFill>
        </w:rPr>
        <w:t>工程以月进度方式按甲方工程部核定实际完成工程量的</w:t>
      </w:r>
      <w:r>
        <w:rPr>
          <w:rFonts w:hint="eastAsia" w:ascii="仿宋" w:hAnsi="仿宋" w:eastAsia="仿宋" w:cs="仿宋_GB2312"/>
          <w:b/>
          <w:bCs/>
          <w:color w:val="000000" w:themeColor="text1"/>
          <w:sz w:val="30"/>
          <w:szCs w:val="30"/>
          <w:highlight w:val="none"/>
          <w:lang w:val="en-US" w:eastAsia="zh-CN"/>
          <w14:textFill>
            <w14:solidFill>
              <w14:schemeClr w14:val="tx1"/>
            </w14:solidFill>
          </w14:textFill>
        </w:rPr>
        <w:t>70%支付进度款，供货完成后一个月内结清尾款。</w:t>
      </w:r>
    </w:p>
    <w:p w14:paraId="3C357C16">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lang w:eastAsia="zh-CN"/>
          <w14:textFill>
            <w14:solidFill>
              <w14:schemeClr w14:val="tx1"/>
            </w14:solidFill>
          </w14:textFill>
        </w:rPr>
      </w:pPr>
      <w:r>
        <w:rPr>
          <w:rFonts w:hint="eastAsia" w:ascii="仿宋" w:hAnsi="仿宋" w:eastAsia="仿宋" w:cs="仿宋_GB2312"/>
          <w:b/>
          <w:bCs/>
          <w:color w:val="000000" w:themeColor="text1"/>
          <w:sz w:val="30"/>
          <w:szCs w:val="30"/>
          <w:highlight w:val="none"/>
          <w:lang w:eastAsia="zh-CN"/>
          <w14:textFill>
            <w14:solidFill>
              <w14:schemeClr w14:val="tx1"/>
            </w14:solidFill>
          </w14:textFill>
        </w:rPr>
        <w:t>对账时间为</w:t>
      </w:r>
      <w:r>
        <w:rPr>
          <w:rFonts w:hint="eastAsia" w:ascii="仿宋" w:hAnsi="仿宋" w:eastAsia="仿宋" w:cs="仿宋_GB2312"/>
          <w:b/>
          <w:bCs/>
          <w:color w:val="000000" w:themeColor="text1"/>
          <w:sz w:val="30"/>
          <w:szCs w:val="30"/>
          <w:highlight w:val="none"/>
          <w14:textFill>
            <w14:solidFill>
              <w14:schemeClr w14:val="tx1"/>
            </w14:solidFill>
          </w14:textFill>
        </w:rPr>
        <w:t>每月28</w:t>
      </w:r>
      <w:r>
        <w:rPr>
          <w:rFonts w:hint="eastAsia" w:ascii="仿宋" w:hAnsi="仿宋" w:eastAsia="仿宋" w:cs="仿宋_GB2312"/>
          <w:b/>
          <w:bCs/>
          <w:color w:val="000000" w:themeColor="text1"/>
          <w:sz w:val="30"/>
          <w:szCs w:val="30"/>
          <w:highlight w:val="none"/>
          <w:lang w:eastAsia="zh-CN"/>
          <w14:textFill>
            <w14:solidFill>
              <w14:schemeClr w14:val="tx1"/>
            </w14:solidFill>
          </w14:textFill>
        </w:rPr>
        <w:t>日</w:t>
      </w:r>
      <w:r>
        <w:rPr>
          <w:rFonts w:hint="eastAsia" w:ascii="仿宋" w:hAnsi="仿宋" w:eastAsia="仿宋" w:cs="仿宋_GB2312"/>
          <w:b/>
          <w:bCs/>
          <w:color w:val="000000" w:themeColor="text1"/>
          <w:sz w:val="30"/>
          <w:szCs w:val="30"/>
          <w:highlight w:val="none"/>
          <w14:textFill>
            <w14:solidFill>
              <w14:schemeClr w14:val="tx1"/>
            </w14:solidFill>
          </w14:textFill>
        </w:rPr>
        <w:t>前，乙方将上月26日至本月25日预拌混凝土交货量清单送甲方审核，甲方若有异议应在3日内书面提出，乙方须在2日内答复，否则均视为认可，乙方每月须提供当月收款等额的增值税专用发票（</w:t>
      </w:r>
      <w:r>
        <w:rPr>
          <w:rFonts w:hint="eastAsia" w:ascii="仿宋" w:hAnsi="仿宋" w:eastAsia="仿宋" w:cs="仿宋_GB2312"/>
          <w:b/>
          <w:bCs/>
          <w:color w:val="000000" w:themeColor="text1"/>
          <w:sz w:val="30"/>
          <w:szCs w:val="30"/>
          <w:highlight w:val="none"/>
          <w:lang w:eastAsia="zh-CN"/>
          <w14:textFill>
            <w14:solidFill>
              <w14:schemeClr w14:val="tx1"/>
            </w14:solidFill>
          </w14:textFill>
        </w:rPr>
        <w:t>税率为</w:t>
      </w:r>
      <w:r>
        <w:rPr>
          <w:rFonts w:hint="eastAsia" w:ascii="仿宋" w:hAnsi="仿宋" w:eastAsia="仿宋" w:cs="仿宋_GB2312"/>
          <w:b/>
          <w:bCs/>
          <w:color w:val="000000" w:themeColor="text1"/>
          <w:sz w:val="30"/>
          <w:szCs w:val="30"/>
          <w:highlight w:val="none"/>
          <w:lang w:val="en-US" w:eastAsia="zh-CN"/>
          <w14:textFill>
            <w14:solidFill>
              <w14:schemeClr w14:val="tx1"/>
            </w14:solidFill>
          </w14:textFill>
        </w:rPr>
        <w:t>1</w:t>
      </w:r>
      <w:r>
        <w:rPr>
          <w:rFonts w:hint="eastAsia" w:ascii="仿宋" w:hAnsi="仿宋" w:eastAsia="仿宋" w:cs="仿宋_GB2312"/>
          <w:b/>
          <w:bCs/>
          <w:color w:val="000000" w:themeColor="text1"/>
          <w:sz w:val="30"/>
          <w:szCs w:val="30"/>
          <w:highlight w:val="none"/>
          <w14:textFill>
            <w14:solidFill>
              <w14:schemeClr w14:val="tx1"/>
            </w14:solidFill>
          </w14:textFill>
        </w:rPr>
        <w:t>3%）。</w:t>
      </w:r>
    </w:p>
    <w:p w14:paraId="453C8BA2">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14:textFill>
            <w14:solidFill>
              <w14:schemeClr w14:val="tx1"/>
            </w14:solidFill>
          </w14:textFill>
        </w:rPr>
      </w:pPr>
      <w:r>
        <w:rPr>
          <w:rFonts w:hint="eastAsia" w:ascii="仿宋" w:hAnsi="仿宋" w:eastAsia="仿宋" w:cs="仿宋_GB2312"/>
          <w:b/>
          <w:bCs/>
          <w:color w:val="000000" w:themeColor="text1"/>
          <w:sz w:val="30"/>
          <w:szCs w:val="30"/>
          <w:highlight w:val="none"/>
          <w14:textFill>
            <w14:solidFill>
              <w14:schemeClr w14:val="tx1"/>
            </w14:solidFill>
          </w14:textFill>
        </w:rPr>
        <w:t>八、合同价款及调整：</w:t>
      </w:r>
    </w:p>
    <w:p w14:paraId="35CAA483">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8.1、各种原材料价格上涨或下跌等其他因素对价格进行调整。</w:t>
      </w:r>
    </w:p>
    <w:p w14:paraId="3C886AD1">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14:textFill>
            <w14:solidFill>
              <w14:schemeClr w14:val="tx1"/>
            </w14:solidFill>
          </w14:textFill>
        </w:rPr>
      </w:pPr>
      <w:r>
        <w:rPr>
          <w:rFonts w:hint="eastAsia" w:ascii="仿宋" w:hAnsi="仿宋" w:eastAsia="仿宋" w:cs="仿宋_GB2312"/>
          <w:b/>
          <w:bCs/>
          <w:color w:val="000000" w:themeColor="text1"/>
          <w:sz w:val="30"/>
          <w:szCs w:val="30"/>
          <w:highlight w:val="none"/>
          <w14:textFill>
            <w14:solidFill>
              <w14:schemeClr w14:val="tx1"/>
            </w14:solidFill>
          </w14:textFill>
        </w:rPr>
        <w:t>九、甲方义务：</w:t>
      </w:r>
    </w:p>
    <w:p w14:paraId="31044F28">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9.1、甲方指定</w:t>
      </w:r>
      <w:r>
        <w:rPr>
          <w:rFonts w:hint="eastAsia" w:ascii="仿宋" w:hAnsi="仿宋" w:eastAsia="仿宋" w:cs="仿宋_GB2312"/>
          <w:color w:val="000000" w:themeColor="text1"/>
          <w:sz w:val="30"/>
          <w:szCs w:val="30"/>
          <w:highlight w:val="none"/>
          <w:lang w:eastAsia="zh-CN"/>
          <w14:textFill>
            <w14:solidFill>
              <w14:schemeClr w14:val="tx1"/>
            </w14:solidFill>
          </w14:textFill>
        </w:rPr>
        <w:t>项目负责人为：</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王成龙 </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w:t>
      </w:r>
      <w:r>
        <w:rPr>
          <w:rFonts w:hint="eastAsia" w:ascii="仿宋" w:hAnsi="仿宋" w:eastAsia="仿宋" w:cs="仿宋_GB2312"/>
          <w:color w:val="000000" w:themeColor="text1"/>
          <w:sz w:val="30"/>
          <w:szCs w:val="30"/>
          <w:highlight w:val="none"/>
          <w14:textFill>
            <w14:solidFill>
              <w14:schemeClr w14:val="tx1"/>
            </w14:solidFill>
          </w14:textFill>
        </w:rPr>
        <w:t>联系电话</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18883018303 </w:t>
      </w:r>
      <w:r>
        <w:rPr>
          <w:rFonts w:hint="eastAsia" w:ascii="仿宋" w:hAnsi="仿宋" w:eastAsia="仿宋" w:cs="仿宋_GB2312"/>
          <w:color w:val="000000" w:themeColor="text1"/>
          <w:sz w:val="30"/>
          <w:szCs w:val="30"/>
          <w:highlight w:val="none"/>
          <w:u w:val="none"/>
          <w:lang w:val="en-US" w:eastAsia="zh-CN"/>
          <w14:textFill>
            <w14:solidFill>
              <w14:schemeClr w14:val="tx1"/>
            </w14:solidFill>
          </w14:textFill>
        </w:rPr>
        <w:t>；</w:t>
      </w:r>
      <w:r>
        <w:rPr>
          <w:rFonts w:hint="eastAsia" w:ascii="仿宋" w:hAnsi="仿宋" w:eastAsia="仿宋" w:cs="仿宋_GB2312"/>
          <w:color w:val="000000" w:themeColor="text1"/>
          <w:sz w:val="30"/>
          <w:szCs w:val="30"/>
          <w:highlight w:val="none"/>
          <w14:textFill>
            <w14:solidFill>
              <w14:schemeClr w14:val="tx1"/>
            </w14:solidFill>
          </w14:textFill>
        </w:rPr>
        <w:t>对账负责人为</w:t>
      </w:r>
      <w:r>
        <w:rPr>
          <w:rFonts w:hint="eastAsia" w:ascii="仿宋" w:hAnsi="仿宋" w:eastAsia="仿宋" w:cs="仿宋_GB2312"/>
          <w:color w:val="000000" w:themeColor="text1"/>
          <w:sz w:val="30"/>
          <w:szCs w:val="30"/>
          <w:highlight w:val="none"/>
          <w:u w:val="none"/>
          <w14:textFill>
            <w14:solidFill>
              <w14:schemeClr w14:val="tx1"/>
            </w14:solidFill>
          </w14:textFill>
        </w:rPr>
        <w:t>：</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陈河江 </w:t>
      </w:r>
      <w:r>
        <w:rPr>
          <w:rFonts w:hint="eastAsia" w:ascii="仿宋" w:hAnsi="仿宋" w:eastAsia="仿宋" w:cs="仿宋_GB2312"/>
          <w:color w:val="000000" w:themeColor="text1"/>
          <w:sz w:val="30"/>
          <w:szCs w:val="30"/>
          <w:highlight w:val="none"/>
          <w14:textFill>
            <w14:solidFill>
              <w14:schemeClr w14:val="tx1"/>
            </w14:solidFill>
          </w14:textFill>
        </w:rPr>
        <w:t>，联系电话</w:t>
      </w:r>
      <w:r>
        <w:rPr>
          <w:rFonts w:hint="eastAsia" w:ascii="仿宋" w:hAnsi="仿宋" w:eastAsia="仿宋" w:cs="仿宋_GB2312"/>
          <w:color w:val="000000" w:themeColor="text1"/>
          <w:sz w:val="30"/>
          <w:szCs w:val="30"/>
          <w:highlight w:val="none"/>
          <w:u w:val="none"/>
          <w14:textFill>
            <w14:solidFill>
              <w14:schemeClr w14:val="tx1"/>
            </w14:solidFill>
          </w14:textFill>
        </w:rPr>
        <w:t xml:space="preserve"> </w:t>
      </w:r>
      <w:r>
        <w:rPr>
          <w:rFonts w:hint="eastAsia" w:ascii="仿宋" w:hAnsi="仿宋" w:eastAsia="仿宋" w:cs="仿宋_GB2312"/>
          <w:color w:val="000000" w:themeColor="text1"/>
          <w:sz w:val="30"/>
          <w:szCs w:val="30"/>
          <w:highlight w:val="none"/>
          <w:u w:val="none"/>
          <w:lang w:eastAsia="zh-CN"/>
          <w14:textFill>
            <w14:solidFill>
              <w14:schemeClr w14:val="tx1"/>
            </w14:solidFill>
          </w14:textFill>
        </w:rPr>
        <w:t>：</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18716131504 </w:t>
      </w:r>
      <w:r>
        <w:rPr>
          <w:rFonts w:hint="eastAsia" w:ascii="仿宋" w:hAnsi="仿宋" w:eastAsia="仿宋" w:cs="仿宋_GB2312"/>
          <w:color w:val="000000" w:themeColor="text1"/>
          <w:sz w:val="30"/>
          <w:szCs w:val="30"/>
          <w:highlight w:val="none"/>
          <w14:textFill>
            <w14:solidFill>
              <w14:schemeClr w14:val="tx1"/>
            </w14:solidFill>
          </w14:textFill>
        </w:rPr>
        <w:t>，甲方</w:t>
      </w:r>
      <w:r>
        <w:rPr>
          <w:rFonts w:hint="eastAsia" w:ascii="仿宋" w:hAnsi="仿宋" w:eastAsia="仿宋" w:cs="仿宋_GB2312"/>
          <w:color w:val="000000" w:themeColor="text1"/>
          <w:sz w:val="30"/>
          <w:szCs w:val="30"/>
          <w:highlight w:val="none"/>
          <w:lang w:eastAsia="zh-CN"/>
          <w14:textFill>
            <w14:solidFill>
              <w14:schemeClr w14:val="tx1"/>
            </w14:solidFill>
          </w14:textFill>
        </w:rPr>
        <w:t>项目负责人或</w:t>
      </w:r>
      <w:r>
        <w:rPr>
          <w:rFonts w:hint="eastAsia" w:ascii="仿宋" w:hAnsi="仿宋" w:eastAsia="仿宋" w:cs="仿宋_GB2312"/>
          <w:color w:val="000000" w:themeColor="text1"/>
          <w:sz w:val="30"/>
          <w:szCs w:val="30"/>
          <w:highlight w:val="none"/>
          <w14:textFill>
            <w14:solidFill>
              <w14:schemeClr w14:val="tx1"/>
            </w14:solidFill>
          </w14:textFill>
        </w:rPr>
        <w:t>对账负责人在本项目的供应计划表、计量小票、结算、对帐单等结算依据和凭证上签字均作为甲方向乙方支付货款的依据，甲方更换以上人员须书面通知乙方</w:t>
      </w:r>
      <w:r>
        <w:rPr>
          <w:rFonts w:hint="eastAsia" w:ascii="仿宋" w:hAnsi="仿宋" w:eastAsia="仿宋" w:cs="仿宋_GB2312"/>
          <w:color w:val="000000" w:themeColor="text1"/>
          <w:sz w:val="30"/>
          <w:szCs w:val="30"/>
          <w:highlight w:val="none"/>
          <w:lang w:eastAsia="zh-CN"/>
          <w14:textFill>
            <w14:solidFill>
              <w14:schemeClr w14:val="tx1"/>
            </w14:solidFill>
          </w14:textFill>
        </w:rPr>
        <w:t>，否则</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以上负责人员</w:t>
      </w:r>
      <w:r>
        <w:rPr>
          <w:rFonts w:hint="eastAsia" w:ascii="仿宋" w:hAnsi="仿宋" w:eastAsia="仿宋" w:cs="仿宋_GB2312"/>
          <w:color w:val="000000" w:themeColor="text1"/>
          <w:sz w:val="30"/>
          <w:szCs w:val="30"/>
          <w:highlight w:val="none"/>
          <w:lang w:eastAsia="zh-CN"/>
          <w14:textFill>
            <w14:solidFill>
              <w14:schemeClr w14:val="tx1"/>
            </w14:solidFill>
          </w14:textFill>
        </w:rPr>
        <w:t>签字视为甲方认可</w:t>
      </w:r>
      <w:r>
        <w:rPr>
          <w:rFonts w:hint="eastAsia" w:ascii="仿宋" w:hAnsi="仿宋" w:eastAsia="仿宋" w:cs="仿宋_GB2312"/>
          <w:color w:val="000000" w:themeColor="text1"/>
          <w:sz w:val="30"/>
          <w:szCs w:val="30"/>
          <w:highlight w:val="none"/>
          <w14:textFill>
            <w14:solidFill>
              <w14:schemeClr w14:val="tx1"/>
            </w14:solidFill>
          </w14:textFill>
        </w:rPr>
        <w:t>。</w:t>
      </w:r>
    </w:p>
    <w:p w14:paraId="3ABA33D2">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9.</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2</w:t>
      </w:r>
      <w:r>
        <w:rPr>
          <w:rFonts w:hint="eastAsia" w:ascii="仿宋" w:hAnsi="仿宋" w:eastAsia="仿宋" w:cs="仿宋_GB2312"/>
          <w:color w:val="000000" w:themeColor="text1"/>
          <w:sz w:val="30"/>
          <w:szCs w:val="30"/>
          <w:highlight w:val="none"/>
          <w14:textFill>
            <w14:solidFill>
              <w14:schemeClr w14:val="tx1"/>
            </w14:solidFill>
          </w14:textFill>
        </w:rPr>
        <w:t>、甲方必须具备保证预拌混凝土供应的基本条件：施工现场道路平整、通畅；提供保证混凝土施工的电力电源、照明、起吊设备、水源（100毫米管径和接口）临时清洁车辆的人员和设施。</w:t>
      </w:r>
    </w:p>
    <w:p w14:paraId="42E83D53">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9.</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、甲方应</w:t>
      </w:r>
      <w:r>
        <w:rPr>
          <w:rFonts w:hint="eastAsia" w:ascii="仿宋" w:hAnsi="仿宋" w:eastAsia="仿宋" w:cs="仿宋_GB2312"/>
          <w:color w:val="000000" w:themeColor="text1"/>
          <w:sz w:val="30"/>
          <w:szCs w:val="30"/>
          <w:highlight w:val="none"/>
          <w:lang w:eastAsia="zh-CN"/>
          <w14:textFill>
            <w14:solidFill>
              <w14:schemeClr w14:val="tx1"/>
            </w14:solidFill>
          </w14:textFill>
        </w:rPr>
        <w:t>派</w:t>
      </w:r>
      <w:r>
        <w:rPr>
          <w:rFonts w:hint="eastAsia" w:ascii="仿宋" w:hAnsi="仿宋" w:eastAsia="仿宋" w:cs="仿宋_GB2312"/>
          <w:color w:val="000000" w:themeColor="text1"/>
          <w:sz w:val="30"/>
          <w:szCs w:val="30"/>
          <w:highlight w:val="none"/>
          <w14:textFill>
            <w14:solidFill>
              <w14:schemeClr w14:val="tx1"/>
            </w14:solidFill>
          </w14:textFill>
        </w:rPr>
        <w:t>人对运输车辆进出冲洗至每批混凝土浇筑结束，负责施工现场安全，协调周边城管、交通、扰民及其他相关事宜。</w:t>
      </w:r>
    </w:p>
    <w:p w14:paraId="6E865888">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9.</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4</w:t>
      </w:r>
      <w:r>
        <w:rPr>
          <w:rFonts w:hint="eastAsia" w:ascii="仿宋" w:hAnsi="仿宋" w:eastAsia="仿宋" w:cs="仿宋_GB2312"/>
          <w:color w:val="000000" w:themeColor="text1"/>
          <w:sz w:val="30"/>
          <w:szCs w:val="30"/>
          <w:highlight w:val="none"/>
          <w14:textFill>
            <w14:solidFill>
              <w14:schemeClr w14:val="tx1"/>
            </w14:solidFill>
          </w14:textFill>
        </w:rPr>
        <w:t>、预拌混凝土运到施工现场后，甲方擅自掺入外加剂、水等造成的预拌混凝土质量问题由甲方承担所有损失和责任。</w:t>
      </w:r>
    </w:p>
    <w:p w14:paraId="0417A877">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9.</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5</w:t>
      </w:r>
      <w:r>
        <w:rPr>
          <w:rFonts w:hint="eastAsia" w:ascii="仿宋" w:hAnsi="仿宋" w:eastAsia="仿宋" w:cs="仿宋_GB2312"/>
          <w:color w:val="000000" w:themeColor="text1"/>
          <w:sz w:val="30"/>
          <w:szCs w:val="30"/>
          <w:highlight w:val="none"/>
          <w14:textFill>
            <w14:solidFill>
              <w14:schemeClr w14:val="tx1"/>
            </w14:solidFill>
          </w14:textFill>
        </w:rPr>
        <w:t>、乙方按甲方的预拌混凝土供应计划表要求，运送预拌混凝土到位后，甲方应及时组织浇捣，</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因甲方原因</w:t>
      </w:r>
      <w:r>
        <w:rPr>
          <w:rFonts w:hint="eastAsia" w:ascii="仿宋" w:hAnsi="仿宋" w:eastAsia="仿宋" w:cs="仿宋_GB2312"/>
          <w:color w:val="000000" w:themeColor="text1"/>
          <w:sz w:val="30"/>
          <w:szCs w:val="30"/>
          <w:highlight w:val="none"/>
          <w14:textFill>
            <w14:solidFill>
              <w14:schemeClr w14:val="tx1"/>
            </w14:solidFill>
          </w14:textFill>
        </w:rPr>
        <w:t>预拌混凝土运到施工现场停留时间超过2小时以上而造成预拌混凝土不能使用的甲方应按票签单，损失由甲方承担。</w:t>
      </w:r>
    </w:p>
    <w:p w14:paraId="6EBDB905">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9.</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6</w:t>
      </w:r>
      <w:r>
        <w:rPr>
          <w:rFonts w:hint="eastAsia" w:ascii="仿宋" w:hAnsi="仿宋" w:eastAsia="仿宋" w:cs="仿宋_GB2312"/>
          <w:color w:val="000000" w:themeColor="text1"/>
          <w:sz w:val="30"/>
          <w:szCs w:val="30"/>
          <w:highlight w:val="none"/>
          <w14:textFill>
            <w14:solidFill>
              <w14:schemeClr w14:val="tx1"/>
            </w14:solidFill>
          </w14:textFill>
        </w:rPr>
        <w:t>、预拌混凝土属于半成品商品，其质量靠施工和后期养护来保证；浇捣后的预拌混凝土，甲方应按照国家《混凝土结构工程施工质量验收规范》（GB50204—2015）标准加强养护。如施工或者养护不当，造成质量问题，由甲方负责。甲方在混凝土施工及管理过程中，应严格执行国家现行规范和技术标准。</w:t>
      </w:r>
    </w:p>
    <w:p w14:paraId="64C787A5">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9.</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7</w:t>
      </w:r>
      <w:r>
        <w:rPr>
          <w:rFonts w:hint="eastAsia" w:ascii="仿宋" w:hAnsi="仿宋" w:eastAsia="仿宋" w:cs="仿宋_GB2312"/>
          <w:color w:val="000000" w:themeColor="text1"/>
          <w:sz w:val="30"/>
          <w:szCs w:val="30"/>
          <w:highlight w:val="none"/>
          <w14:textFill>
            <w14:solidFill>
              <w14:schemeClr w14:val="tx1"/>
            </w14:solidFill>
          </w14:textFill>
        </w:rPr>
        <w:t>、交货验收及现场的混凝土取样工作由甲方负责，并执行见证取样送检制度。试件必须送有资质的第三方检测机构检测，检验费由甲方负责承担，并作为工程验收的依据之一</w:t>
      </w:r>
      <w:r>
        <w:rPr>
          <w:rFonts w:hint="eastAsia" w:ascii="仿宋" w:hAnsi="仿宋" w:eastAsia="仿宋" w:cs="仿宋_GB2312"/>
          <w:color w:val="000000" w:themeColor="text1"/>
          <w:sz w:val="30"/>
          <w:szCs w:val="30"/>
          <w:highlight w:val="none"/>
          <w:lang w:eastAsia="zh-CN"/>
          <w14:textFill>
            <w14:solidFill>
              <w14:schemeClr w14:val="tx1"/>
            </w14:solidFill>
          </w14:textFill>
        </w:rPr>
        <w:t>，</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如取样质量有问题，由乙方承担检验费</w:t>
      </w:r>
      <w:r>
        <w:rPr>
          <w:rFonts w:hint="eastAsia" w:ascii="仿宋" w:hAnsi="仿宋" w:eastAsia="仿宋" w:cs="仿宋_GB2312"/>
          <w:color w:val="000000" w:themeColor="text1"/>
          <w:sz w:val="30"/>
          <w:szCs w:val="30"/>
          <w:highlight w:val="none"/>
          <w14:textFill>
            <w14:solidFill>
              <w14:schemeClr w14:val="tx1"/>
            </w14:solidFill>
          </w14:textFill>
        </w:rPr>
        <w:t>。</w:t>
      </w:r>
    </w:p>
    <w:p w14:paraId="4A5DB42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560" w:leftChars="0"/>
        <w:textAlignment w:val="auto"/>
        <w:rPr>
          <w:rFonts w:hint="eastAsia" w:ascii="仿宋" w:hAnsi="仿宋" w:eastAsia="仿宋" w:cs="仿宋"/>
          <w:b/>
          <w:bCs/>
          <w:color w:val="000000" w:themeColor="text1"/>
          <w:sz w:val="30"/>
          <w:szCs w:val="30"/>
          <w:highlight w:val="none"/>
          <w14:textFill>
            <w14:solidFill>
              <w14:schemeClr w14:val="tx1"/>
            </w14:solidFill>
          </w14:textFill>
        </w:rPr>
      </w:pPr>
      <w:r>
        <w:rPr>
          <w:rFonts w:hint="eastAsia" w:ascii="仿宋" w:hAnsi="仿宋" w:eastAsia="仿宋" w:cs="仿宋"/>
          <w:b/>
          <w:bCs/>
          <w:color w:val="000000" w:themeColor="text1"/>
          <w:sz w:val="30"/>
          <w:szCs w:val="30"/>
          <w:highlight w:val="none"/>
          <w:lang w:eastAsia="zh-CN"/>
          <w14:textFill>
            <w14:solidFill>
              <w14:schemeClr w14:val="tx1"/>
            </w14:solidFill>
          </w14:textFill>
        </w:rPr>
        <w:t>十、</w:t>
      </w:r>
      <w:r>
        <w:rPr>
          <w:rFonts w:hint="eastAsia" w:ascii="仿宋" w:hAnsi="仿宋" w:eastAsia="仿宋" w:cs="仿宋"/>
          <w:b/>
          <w:bCs/>
          <w:color w:val="000000" w:themeColor="text1"/>
          <w:sz w:val="30"/>
          <w:szCs w:val="30"/>
          <w:highlight w:val="none"/>
          <w14:textFill>
            <w14:solidFill>
              <w14:schemeClr w14:val="tx1"/>
            </w14:solidFill>
          </w14:textFill>
        </w:rPr>
        <w:t>履约保证金</w:t>
      </w:r>
    </w:p>
    <w:p w14:paraId="6EC6BF43">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color w:val="000000" w:themeColor="text1"/>
          <w:sz w:val="30"/>
          <w:szCs w:val="30"/>
          <w:highlight w:val="none"/>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乙方向甲方递交履约保证金</w:t>
      </w:r>
      <w:r>
        <w:rPr>
          <w:rFonts w:hint="eastAsia" w:ascii="仿宋" w:hAnsi="仿宋" w:eastAsia="仿宋" w:cs="仿宋"/>
          <w:b/>
          <w:bCs/>
          <w:color w:val="000000" w:themeColor="text1"/>
          <w:sz w:val="30"/>
          <w:szCs w:val="30"/>
          <w:highlight w:val="none"/>
          <w:u w:val="single"/>
          <w14:textFill>
            <w14:solidFill>
              <w14:schemeClr w14:val="tx1"/>
            </w14:solidFill>
          </w14:textFill>
        </w:rPr>
        <w:t xml:space="preserve"> </w:t>
      </w:r>
      <w:r>
        <w:rPr>
          <w:rFonts w:hint="eastAsia" w:ascii="仿宋" w:hAnsi="仿宋" w:eastAsia="仿宋" w:cs="仿宋"/>
          <w:b/>
          <w:bCs/>
          <w:color w:val="000000" w:themeColor="text1"/>
          <w:sz w:val="30"/>
          <w:szCs w:val="30"/>
          <w:highlight w:val="none"/>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30"/>
          <w:szCs w:val="30"/>
          <w:highlight w:val="none"/>
          <w:u w:val="single"/>
          <w14:textFill>
            <w14:solidFill>
              <w14:schemeClr w14:val="tx1"/>
            </w14:solidFill>
          </w14:textFill>
        </w:rPr>
        <w:t xml:space="preserve"> </w:t>
      </w:r>
      <w:r>
        <w:rPr>
          <w:rFonts w:hint="eastAsia" w:ascii="仿宋" w:hAnsi="仿宋" w:eastAsia="仿宋" w:cs="仿宋"/>
          <w:b/>
          <w:bCs/>
          <w:color w:val="000000" w:themeColor="text1"/>
          <w:sz w:val="30"/>
          <w:szCs w:val="30"/>
          <w:highlight w:val="none"/>
          <w14:textFill>
            <w14:solidFill>
              <w14:schemeClr w14:val="tx1"/>
            </w14:solidFill>
          </w14:textFill>
        </w:rPr>
        <w:t>元，大写：</w:t>
      </w:r>
      <w:r>
        <w:rPr>
          <w:rFonts w:hint="eastAsia" w:ascii="仿宋" w:hAnsi="仿宋" w:eastAsia="仿宋" w:cs="仿宋"/>
          <w:b/>
          <w:bCs/>
          <w:color w:val="000000" w:themeColor="text1"/>
          <w:sz w:val="30"/>
          <w:szCs w:val="30"/>
          <w:highlight w:val="none"/>
          <w:u w:val="single"/>
          <w:lang w:val="en-US" w:eastAsia="zh-CN"/>
          <w14:textFill>
            <w14:solidFill>
              <w14:schemeClr w14:val="tx1"/>
            </w14:solidFill>
          </w14:textFill>
        </w:rPr>
        <w:t xml:space="preserve">   元整 </w:t>
      </w:r>
      <w:r>
        <w:rPr>
          <w:rFonts w:hint="eastAsia" w:ascii="仿宋" w:hAnsi="仿宋" w:eastAsia="仿宋" w:cs="仿宋"/>
          <w:b w:val="0"/>
          <w:bCs w:val="0"/>
          <w:color w:val="000000" w:themeColor="text1"/>
          <w:sz w:val="30"/>
          <w:szCs w:val="30"/>
          <w:highlight w:val="none"/>
          <w:u w:val="none"/>
          <w:lang w:val="en-US" w:eastAsia="zh-CN"/>
          <w14:textFill>
            <w14:solidFill>
              <w14:schemeClr w14:val="tx1"/>
            </w14:solidFill>
          </w14:textFill>
        </w:rPr>
        <w:t>（注：由询价保证金直接转为履约保证金）</w:t>
      </w:r>
      <w:r>
        <w:rPr>
          <w:rFonts w:hint="eastAsia" w:ascii="仿宋" w:hAnsi="仿宋" w:eastAsia="仿宋" w:cs="仿宋"/>
          <w:color w:val="000000" w:themeColor="text1"/>
          <w:sz w:val="30"/>
          <w:szCs w:val="30"/>
          <w:highlight w:val="none"/>
          <w14:textFill>
            <w14:solidFill>
              <w14:schemeClr w14:val="tx1"/>
            </w14:solidFill>
          </w14:textFill>
        </w:rPr>
        <w:t>，该保证金于供货完成并经甲方验收合格后</w:t>
      </w:r>
      <w:r>
        <w:rPr>
          <w:rFonts w:hint="eastAsia" w:ascii="仿宋" w:hAnsi="仿宋" w:eastAsia="仿宋" w:cs="仿宋"/>
          <w:color w:val="000000" w:themeColor="text1"/>
          <w:sz w:val="30"/>
          <w:szCs w:val="30"/>
          <w:highlight w:val="none"/>
          <w:lang w:val="en-US" w:eastAsia="zh-CN"/>
          <w14:textFill>
            <w14:solidFill>
              <w14:schemeClr w14:val="tx1"/>
            </w14:solidFill>
          </w14:textFill>
        </w:rPr>
        <w:t>10</w:t>
      </w:r>
      <w:r>
        <w:rPr>
          <w:rFonts w:hint="eastAsia" w:ascii="仿宋" w:hAnsi="仿宋" w:eastAsia="仿宋" w:cs="仿宋"/>
          <w:color w:val="000000" w:themeColor="text1"/>
          <w:sz w:val="30"/>
          <w:szCs w:val="30"/>
          <w:highlight w:val="none"/>
          <w14:textFill>
            <w14:solidFill>
              <w14:schemeClr w14:val="tx1"/>
            </w14:solidFill>
          </w14:textFill>
        </w:rPr>
        <w:t>个工作日内退还（不计息）。如乙方在合同签订后不能履约或拒绝履约，则保证金不予退还。</w:t>
      </w:r>
    </w:p>
    <w:p w14:paraId="34853642">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14:textFill>
            <w14:solidFill>
              <w14:schemeClr w14:val="tx1"/>
            </w14:solidFill>
          </w14:textFill>
        </w:rPr>
      </w:pPr>
      <w:r>
        <w:rPr>
          <w:rFonts w:hint="eastAsia" w:ascii="仿宋" w:hAnsi="仿宋" w:eastAsia="仿宋" w:cs="仿宋_GB2312"/>
          <w:b/>
          <w:bCs/>
          <w:color w:val="000000" w:themeColor="text1"/>
          <w:sz w:val="30"/>
          <w:szCs w:val="30"/>
          <w:highlight w:val="none"/>
          <w14:textFill>
            <w14:solidFill>
              <w14:schemeClr w14:val="tx1"/>
            </w14:solidFill>
          </w14:textFill>
        </w:rPr>
        <w:t>十</w:t>
      </w:r>
      <w:r>
        <w:rPr>
          <w:rFonts w:hint="eastAsia" w:ascii="仿宋" w:hAnsi="仿宋" w:eastAsia="仿宋" w:cs="仿宋_GB2312"/>
          <w:b/>
          <w:bCs/>
          <w:color w:val="000000" w:themeColor="text1"/>
          <w:sz w:val="30"/>
          <w:szCs w:val="30"/>
          <w:highlight w:val="none"/>
          <w:lang w:eastAsia="zh-CN"/>
          <w14:textFill>
            <w14:solidFill>
              <w14:schemeClr w14:val="tx1"/>
            </w14:solidFill>
          </w14:textFill>
        </w:rPr>
        <w:t>一</w:t>
      </w:r>
      <w:r>
        <w:rPr>
          <w:rFonts w:hint="eastAsia" w:ascii="仿宋" w:hAnsi="仿宋" w:eastAsia="仿宋" w:cs="仿宋_GB2312"/>
          <w:b/>
          <w:bCs/>
          <w:color w:val="000000" w:themeColor="text1"/>
          <w:sz w:val="30"/>
          <w:szCs w:val="30"/>
          <w:highlight w:val="none"/>
          <w14:textFill>
            <w14:solidFill>
              <w14:schemeClr w14:val="tx1"/>
            </w14:solidFill>
          </w14:textFill>
        </w:rPr>
        <w:t>、乙方义务：</w:t>
      </w:r>
    </w:p>
    <w:p w14:paraId="3429F5CC">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1</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1</w:t>
      </w:r>
      <w:r>
        <w:rPr>
          <w:rFonts w:hint="eastAsia" w:ascii="仿宋" w:hAnsi="仿宋" w:eastAsia="仿宋" w:cs="仿宋_GB2312"/>
          <w:color w:val="000000" w:themeColor="text1"/>
          <w:sz w:val="30"/>
          <w:szCs w:val="30"/>
          <w:highlight w:val="none"/>
          <w14:textFill>
            <w14:solidFill>
              <w14:schemeClr w14:val="tx1"/>
            </w14:solidFill>
          </w14:textFill>
        </w:rPr>
        <w:t>.1、乙方在签订合同并收到甲方的混凝土用量计划后，</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按时保质保量的供应</w:t>
      </w:r>
      <w:r>
        <w:rPr>
          <w:rFonts w:hint="eastAsia" w:ascii="仿宋" w:hAnsi="仿宋" w:eastAsia="仿宋" w:cs="仿宋_GB2312"/>
          <w:color w:val="000000" w:themeColor="text1"/>
          <w:sz w:val="30"/>
          <w:szCs w:val="30"/>
          <w:highlight w:val="none"/>
          <w14:textFill>
            <w14:solidFill>
              <w14:schemeClr w14:val="tx1"/>
            </w14:solidFill>
          </w14:textFill>
        </w:rPr>
        <w:t>混凝土</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并对生产的商品</w:t>
      </w:r>
      <w:r>
        <w:rPr>
          <w:rFonts w:hint="eastAsia" w:ascii="仿宋" w:hAnsi="仿宋" w:eastAsia="仿宋" w:cs="仿宋_GB2312"/>
          <w:color w:val="000000" w:themeColor="text1"/>
          <w:sz w:val="30"/>
          <w:szCs w:val="30"/>
          <w:highlight w:val="none"/>
          <w14:textFill>
            <w14:solidFill>
              <w14:schemeClr w14:val="tx1"/>
            </w14:solidFill>
          </w14:textFill>
        </w:rPr>
        <w:t>混凝土</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质量负责</w:t>
      </w:r>
      <w:r>
        <w:rPr>
          <w:rFonts w:hint="eastAsia" w:ascii="仿宋" w:hAnsi="仿宋" w:eastAsia="仿宋" w:cs="仿宋_GB2312"/>
          <w:color w:val="000000" w:themeColor="text1"/>
          <w:sz w:val="30"/>
          <w:szCs w:val="30"/>
          <w:highlight w:val="none"/>
          <w:lang w:eastAsia="zh-CN"/>
          <w14:textFill>
            <w14:solidFill>
              <w14:schemeClr w14:val="tx1"/>
            </w14:solidFill>
          </w14:textFill>
        </w:rPr>
        <w:t>。</w:t>
      </w:r>
      <w:r>
        <w:rPr>
          <w:rFonts w:hint="eastAsia" w:ascii="仿宋" w:hAnsi="仿宋" w:eastAsia="仿宋" w:cs="仿宋_GB2312"/>
          <w:color w:val="000000" w:themeColor="text1"/>
          <w:sz w:val="30"/>
          <w:szCs w:val="30"/>
          <w:highlight w:val="none"/>
          <w14:textFill>
            <w14:solidFill>
              <w14:schemeClr w14:val="tx1"/>
            </w14:solidFill>
          </w14:textFill>
        </w:rPr>
        <w:t>乙方应按规范及合同的要求，负责预拌混凝土的配合比设计、试验。</w:t>
      </w:r>
    </w:p>
    <w:p w14:paraId="121441BB">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1</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1</w:t>
      </w:r>
      <w:r>
        <w:rPr>
          <w:rFonts w:hint="eastAsia" w:ascii="仿宋" w:hAnsi="仿宋" w:eastAsia="仿宋" w:cs="仿宋_GB2312"/>
          <w:color w:val="000000" w:themeColor="text1"/>
          <w:sz w:val="30"/>
          <w:szCs w:val="30"/>
          <w:highlight w:val="none"/>
          <w14:textFill>
            <w14:solidFill>
              <w14:schemeClr w14:val="tx1"/>
            </w14:solidFill>
          </w14:textFill>
        </w:rPr>
        <w:t>.</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2</w:t>
      </w:r>
      <w:r>
        <w:rPr>
          <w:rFonts w:hint="eastAsia" w:ascii="仿宋" w:hAnsi="仿宋" w:eastAsia="仿宋" w:cs="仿宋_GB2312"/>
          <w:color w:val="000000" w:themeColor="text1"/>
          <w:sz w:val="30"/>
          <w:szCs w:val="30"/>
          <w:highlight w:val="none"/>
          <w14:textFill>
            <w14:solidFill>
              <w14:schemeClr w14:val="tx1"/>
            </w14:solidFill>
          </w14:textFill>
        </w:rPr>
        <w:t>、乙方和甲方及甲方组织的监理单位人员进行开盘鉴定，并告知预拌混凝土使用说明和施工注意事项。</w:t>
      </w:r>
    </w:p>
    <w:p w14:paraId="34E73FC6">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1</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1</w:t>
      </w:r>
      <w:r>
        <w:rPr>
          <w:rFonts w:hint="eastAsia" w:ascii="仿宋" w:hAnsi="仿宋" w:eastAsia="仿宋" w:cs="仿宋_GB2312"/>
          <w:color w:val="000000" w:themeColor="text1"/>
          <w:sz w:val="30"/>
          <w:szCs w:val="30"/>
          <w:highlight w:val="none"/>
          <w14:textFill>
            <w14:solidFill>
              <w14:schemeClr w14:val="tx1"/>
            </w14:solidFill>
          </w14:textFill>
        </w:rPr>
        <w:t>.</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3</w:t>
      </w:r>
      <w:r>
        <w:rPr>
          <w:rFonts w:hint="eastAsia" w:ascii="仿宋" w:hAnsi="仿宋" w:eastAsia="仿宋" w:cs="仿宋_GB2312"/>
          <w:color w:val="000000" w:themeColor="text1"/>
          <w:sz w:val="30"/>
          <w:szCs w:val="30"/>
          <w:highlight w:val="none"/>
          <w14:textFill>
            <w14:solidFill>
              <w14:schemeClr w14:val="tx1"/>
            </w14:solidFill>
          </w14:textFill>
        </w:rPr>
        <w:t>、甲方将预拌混凝土书面供应计划表送达乙方后，乙方应按甲方要求及时组织生产，并按时供应预拌混凝土保证工程连续浇捣的需要。如因不可抗力或特殊原因如（停水、停电、检修设备、交通管制、区域大面积材料紧缺、安全、环保检查、其他政府行为及突发情况等特殊原因和不可抗拒力等因素）不能及时供料除外，乙方必须在甲方浇筑混凝土前24小时内书面通知甲方，并告知不能按时供货的原因，及计划好大概供货时间。</w:t>
      </w:r>
    </w:p>
    <w:p w14:paraId="72CBE166">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default" w:ascii="仿宋" w:hAnsi="仿宋" w:eastAsia="仿宋" w:cs="仿宋_GB2312"/>
          <w:color w:val="000000" w:themeColor="text1"/>
          <w:sz w:val="30"/>
          <w:szCs w:val="30"/>
          <w:highlight w:val="none"/>
          <w:lang w:val="en-US" w:eastAsia="zh-CN"/>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1</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1</w:t>
      </w:r>
      <w:r>
        <w:rPr>
          <w:rFonts w:hint="eastAsia" w:ascii="仿宋" w:hAnsi="仿宋" w:eastAsia="仿宋" w:cs="仿宋_GB2312"/>
          <w:color w:val="000000" w:themeColor="text1"/>
          <w:sz w:val="30"/>
          <w:szCs w:val="30"/>
          <w:highlight w:val="none"/>
          <w14:textFill>
            <w14:solidFill>
              <w14:schemeClr w14:val="tx1"/>
            </w14:solidFill>
          </w14:textFill>
        </w:rPr>
        <w:t>.</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4</w:t>
      </w:r>
      <w:r>
        <w:rPr>
          <w:rFonts w:hint="eastAsia" w:ascii="仿宋" w:hAnsi="仿宋" w:eastAsia="仿宋" w:cs="仿宋_GB2312"/>
          <w:color w:val="000000" w:themeColor="text1"/>
          <w:sz w:val="30"/>
          <w:szCs w:val="30"/>
          <w:highlight w:val="none"/>
          <w14:textFill>
            <w14:solidFill>
              <w14:schemeClr w14:val="tx1"/>
            </w14:solidFill>
          </w14:textFill>
        </w:rPr>
        <w:t>、乙方进入本工程施工现场的人员，应戴好安全帽，遵守有关安全操作规程，服从甲方施工现场安全管理规定。</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因乙方不服从管理或其他原因导致乙方工作人员安全问题由乙方自行承担。</w:t>
      </w:r>
    </w:p>
    <w:p w14:paraId="6BCD3638">
      <w:pPr>
        <w:pStyle w:val="3"/>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1</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1</w:t>
      </w:r>
      <w:r>
        <w:rPr>
          <w:rFonts w:hint="eastAsia" w:ascii="仿宋" w:hAnsi="仿宋" w:eastAsia="仿宋" w:cs="仿宋_GB2312"/>
          <w:color w:val="000000" w:themeColor="text1"/>
          <w:sz w:val="30"/>
          <w:szCs w:val="30"/>
          <w:highlight w:val="none"/>
          <w14:textFill>
            <w14:solidFill>
              <w14:schemeClr w14:val="tx1"/>
            </w14:solidFill>
          </w14:textFill>
        </w:rPr>
        <w:t>.</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5</w:t>
      </w:r>
      <w:r>
        <w:rPr>
          <w:rFonts w:hint="eastAsia" w:ascii="仿宋" w:hAnsi="仿宋" w:eastAsia="仿宋" w:cs="仿宋_GB2312"/>
          <w:color w:val="000000" w:themeColor="text1"/>
          <w:sz w:val="30"/>
          <w:szCs w:val="30"/>
          <w:highlight w:val="none"/>
          <w14:textFill>
            <w14:solidFill>
              <w14:schemeClr w14:val="tx1"/>
            </w14:solidFill>
          </w14:textFill>
        </w:rPr>
        <w:t>、乙方统一调度电话为</w:t>
      </w:r>
      <w:r>
        <w:rPr>
          <w:rFonts w:hint="eastAsia" w:ascii="仿宋" w:hAnsi="仿宋" w:eastAsia="仿宋" w:cs="仿宋_GB2312"/>
          <w:color w:val="000000" w:themeColor="text1"/>
          <w:sz w:val="30"/>
          <w:szCs w:val="30"/>
          <w:highlight w:val="none"/>
          <w:u w:val="single"/>
          <w:lang w:val="en-US" w:eastAsia="zh-CN"/>
          <w14:textFill>
            <w14:solidFill>
              <w14:schemeClr w14:val="tx1"/>
            </w14:solidFill>
          </w14:textFill>
        </w:rPr>
        <w:t xml:space="preserve">        </w:t>
      </w:r>
      <w:r>
        <w:rPr>
          <w:rFonts w:hint="eastAsia" w:ascii="仿宋" w:hAnsi="仿宋" w:eastAsia="仿宋" w:cs="仿宋_GB2312"/>
          <w:color w:val="000000" w:themeColor="text1"/>
          <w:sz w:val="30"/>
          <w:szCs w:val="30"/>
          <w:highlight w:val="none"/>
          <w14:textFill>
            <w14:solidFill>
              <w14:schemeClr w14:val="tx1"/>
            </w14:solidFill>
          </w14:textFill>
        </w:rPr>
        <w:t>，甲方报计划人员须在当日5点以前与乙方调度联系上报次日用料计划便于安排车辆。</w:t>
      </w:r>
    </w:p>
    <w:p w14:paraId="04C5A9BE">
      <w:pPr>
        <w:pStyle w:val="3"/>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default" w:ascii="仿宋" w:hAnsi="仿宋" w:eastAsia="仿宋" w:cs="仿宋_GB2312"/>
          <w:b/>
          <w:bCs/>
          <w:color w:val="000000" w:themeColor="text1"/>
          <w:sz w:val="30"/>
          <w:szCs w:val="30"/>
          <w:highlight w:val="none"/>
          <w:lang w:val="en-US" w:eastAsia="zh-CN"/>
          <w14:textFill>
            <w14:solidFill>
              <w14:schemeClr w14:val="tx1"/>
            </w14:solidFill>
          </w14:textFill>
        </w:rPr>
      </w:pPr>
      <w:r>
        <w:rPr>
          <w:rFonts w:hint="eastAsia" w:ascii="仿宋" w:hAnsi="仿宋" w:eastAsia="仿宋" w:cs="仿宋_GB2312"/>
          <w:b/>
          <w:bCs/>
          <w:color w:val="000000" w:themeColor="text1"/>
          <w:sz w:val="30"/>
          <w:szCs w:val="30"/>
          <w:highlight w:val="none"/>
          <w:lang w:val="en-US" w:eastAsia="zh-CN"/>
          <w14:textFill>
            <w14:solidFill>
              <w14:schemeClr w14:val="tx1"/>
            </w14:solidFill>
          </w14:textFill>
        </w:rPr>
        <w:t>十二、其他</w:t>
      </w:r>
    </w:p>
    <w:p w14:paraId="50982FA6">
      <w:pPr>
        <w:keepNext w:val="0"/>
        <w:keepLines w:val="0"/>
        <w:pageBreakBefore w:val="0"/>
        <w:widowControl w:val="0"/>
        <w:kinsoku/>
        <w:wordWrap/>
        <w:overflowPunct/>
        <w:topLinePunct w:val="0"/>
        <w:autoSpaceDN/>
        <w:bidi w:val="0"/>
        <w:adjustRightInd/>
        <w:snapToGrid/>
        <w:spacing w:line="540" w:lineRule="exact"/>
        <w:ind w:firstLine="600" w:firstLineChars="200"/>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12.1、乙方提供收款方信息有误或因其它原因未能支付相关货款所造成的损失、纠纷，由乙方自行承担。</w:t>
      </w:r>
    </w:p>
    <w:p w14:paraId="32A2BEF2">
      <w:pPr>
        <w:keepNext w:val="0"/>
        <w:keepLines w:val="0"/>
        <w:pageBreakBefore w:val="0"/>
        <w:widowControl w:val="0"/>
        <w:kinsoku/>
        <w:wordWrap/>
        <w:overflowPunct/>
        <w:topLinePunct w:val="0"/>
        <w:autoSpaceDN/>
        <w:bidi w:val="0"/>
        <w:adjustRightInd/>
        <w:snapToGrid/>
        <w:spacing w:line="540" w:lineRule="exact"/>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 xml:space="preserve">    12.2、甲方对委托付款金额有异议，可向收款人进行查询。</w:t>
      </w:r>
    </w:p>
    <w:p w14:paraId="59AD8EF3">
      <w:pPr>
        <w:keepNext w:val="0"/>
        <w:keepLines w:val="0"/>
        <w:pageBreakBefore w:val="0"/>
        <w:widowControl w:val="0"/>
        <w:kinsoku/>
        <w:wordWrap/>
        <w:overflowPunct/>
        <w:topLinePunct w:val="0"/>
        <w:autoSpaceDN/>
        <w:bidi w:val="0"/>
        <w:adjustRightInd/>
        <w:snapToGrid/>
        <w:spacing w:line="540" w:lineRule="exact"/>
        <w:ind w:firstLine="600"/>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12.3、以下事项发生变更时,乙方应及时以书面形式通知甲方：</w:t>
      </w:r>
    </w:p>
    <w:p w14:paraId="7655D751">
      <w:pPr>
        <w:keepNext w:val="0"/>
        <w:keepLines w:val="0"/>
        <w:pageBreakBefore w:val="0"/>
        <w:widowControl w:val="0"/>
        <w:kinsoku/>
        <w:wordWrap/>
        <w:overflowPunct/>
        <w:topLinePunct w:val="0"/>
        <w:autoSpaceDN/>
        <w:bidi w:val="0"/>
        <w:adjustRightInd/>
        <w:snapToGrid/>
        <w:spacing w:line="540" w:lineRule="exact"/>
        <w:ind w:firstLine="600"/>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(1)收款人名称;</w:t>
      </w:r>
    </w:p>
    <w:p w14:paraId="4293148A">
      <w:pPr>
        <w:keepNext w:val="0"/>
        <w:keepLines w:val="0"/>
        <w:pageBreakBefore w:val="0"/>
        <w:widowControl w:val="0"/>
        <w:kinsoku/>
        <w:wordWrap/>
        <w:overflowPunct/>
        <w:topLinePunct w:val="0"/>
        <w:autoSpaceDN/>
        <w:bidi w:val="0"/>
        <w:adjustRightInd/>
        <w:snapToGrid/>
        <w:spacing w:line="540" w:lineRule="exact"/>
        <w:ind w:firstLine="600"/>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(2)收款人开户银行及账号。</w:t>
      </w:r>
    </w:p>
    <w:p w14:paraId="3D027267">
      <w:pPr>
        <w:keepNext w:val="0"/>
        <w:keepLines w:val="0"/>
        <w:pageBreakBefore w:val="0"/>
        <w:widowControl w:val="0"/>
        <w:kinsoku/>
        <w:wordWrap/>
        <w:overflowPunct/>
        <w:topLinePunct w:val="0"/>
        <w:autoSpaceDN/>
        <w:bidi w:val="0"/>
        <w:adjustRightInd/>
        <w:snapToGrid/>
        <w:spacing w:line="540" w:lineRule="exact"/>
        <w:ind w:firstLine="600"/>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因乙方未能将变更情况及时通知甲方仍按原收款方户名、账号等付款引发争议的，甲方不承担任何责任。</w:t>
      </w:r>
    </w:p>
    <w:p w14:paraId="30A61C77">
      <w:pPr>
        <w:keepNext w:val="0"/>
        <w:keepLines w:val="0"/>
        <w:pageBreakBefore w:val="0"/>
        <w:widowControl w:val="0"/>
        <w:kinsoku/>
        <w:wordWrap/>
        <w:overflowPunct/>
        <w:topLinePunct w:val="0"/>
        <w:autoSpaceDN/>
        <w:bidi w:val="0"/>
        <w:adjustRightInd/>
        <w:snapToGrid/>
        <w:spacing w:line="540" w:lineRule="exact"/>
        <w:textAlignment w:val="auto"/>
        <w:rPr>
          <w:rFonts w:hint="eastAsia" w:ascii="仿宋" w:hAnsi="仿宋" w:eastAsia="仿宋" w:cs="仿宋_GB2312"/>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 xml:space="preserve">    12.4、本协议未尽事宜经双方协商，可另拟协议补充条款，与本协议具有同等法律效力。</w:t>
      </w:r>
    </w:p>
    <w:p w14:paraId="085DC6F6">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14:textFill>
            <w14:solidFill>
              <w14:schemeClr w14:val="tx1"/>
            </w14:solidFill>
          </w14:textFill>
        </w:rPr>
      </w:pPr>
      <w:r>
        <w:rPr>
          <w:rFonts w:hint="eastAsia" w:ascii="仿宋" w:hAnsi="仿宋" w:eastAsia="仿宋" w:cs="仿宋_GB2312"/>
          <w:b/>
          <w:bCs/>
          <w:color w:val="000000" w:themeColor="text1"/>
          <w:sz w:val="30"/>
          <w:szCs w:val="30"/>
          <w:highlight w:val="none"/>
          <w14:textFill>
            <w14:solidFill>
              <w14:schemeClr w14:val="tx1"/>
            </w14:solidFill>
          </w14:textFill>
        </w:rPr>
        <w:t>十</w:t>
      </w:r>
      <w:r>
        <w:rPr>
          <w:rFonts w:hint="eastAsia" w:ascii="仿宋" w:hAnsi="仿宋" w:eastAsia="仿宋" w:cs="仿宋_GB2312"/>
          <w:b/>
          <w:bCs/>
          <w:color w:val="000000" w:themeColor="text1"/>
          <w:sz w:val="30"/>
          <w:szCs w:val="30"/>
          <w:highlight w:val="none"/>
          <w:lang w:val="en-US" w:eastAsia="zh-CN"/>
          <w14:textFill>
            <w14:solidFill>
              <w14:schemeClr w14:val="tx1"/>
            </w14:solidFill>
          </w14:textFill>
        </w:rPr>
        <w:t>三</w:t>
      </w:r>
      <w:r>
        <w:rPr>
          <w:rFonts w:hint="eastAsia" w:ascii="仿宋" w:hAnsi="仿宋" w:eastAsia="仿宋" w:cs="仿宋_GB2312"/>
          <w:b/>
          <w:bCs/>
          <w:color w:val="000000" w:themeColor="text1"/>
          <w:sz w:val="30"/>
          <w:szCs w:val="30"/>
          <w:highlight w:val="none"/>
          <w14:textFill>
            <w14:solidFill>
              <w14:schemeClr w14:val="tx1"/>
            </w14:solidFill>
          </w14:textFill>
        </w:rPr>
        <w:t>、争议、违约与索赔</w:t>
      </w:r>
    </w:p>
    <w:p w14:paraId="213AFA16">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lang w:val="en-US" w:eastAsia="zh-CN"/>
          <w14:textFill>
            <w14:solidFill>
              <w14:schemeClr w14:val="tx1"/>
            </w14:solidFill>
          </w14:textFill>
        </w:rPr>
        <w:t>1、</w:t>
      </w:r>
      <w:r>
        <w:rPr>
          <w:rFonts w:hint="eastAsia" w:ascii="仿宋" w:hAnsi="仿宋" w:eastAsia="仿宋" w:cs="仿宋_GB2312"/>
          <w:color w:val="000000" w:themeColor="text1"/>
          <w:sz w:val="30"/>
          <w:szCs w:val="30"/>
          <w:highlight w:val="none"/>
          <w14:textFill>
            <w14:solidFill>
              <w14:schemeClr w14:val="tx1"/>
            </w14:solidFill>
          </w14:textFill>
        </w:rPr>
        <w:t>甲、乙双方因合同发生争执时，应及时协商，协商不成，双方均可向</w:t>
      </w:r>
      <w:r>
        <w:rPr>
          <w:rFonts w:hint="eastAsia" w:ascii="仿宋" w:hAnsi="仿宋" w:eastAsia="仿宋" w:cs="仿宋_GB2312"/>
          <w:color w:val="000000" w:themeColor="text1"/>
          <w:sz w:val="30"/>
          <w:szCs w:val="30"/>
          <w:highlight w:val="none"/>
          <w:lang w:eastAsia="zh-CN"/>
          <w14:textFill>
            <w14:solidFill>
              <w14:schemeClr w14:val="tx1"/>
            </w14:solidFill>
          </w14:textFill>
        </w:rPr>
        <w:t>泸州仲裁委员会申请仲裁</w:t>
      </w:r>
      <w:r>
        <w:rPr>
          <w:rFonts w:hint="eastAsia" w:ascii="仿宋" w:hAnsi="仿宋" w:eastAsia="仿宋" w:cs="仿宋_GB2312"/>
          <w:color w:val="000000" w:themeColor="text1"/>
          <w:sz w:val="30"/>
          <w:szCs w:val="30"/>
          <w:highlight w:val="none"/>
          <w14:textFill>
            <w14:solidFill>
              <w14:schemeClr w14:val="tx1"/>
            </w14:solidFill>
          </w14:textFill>
        </w:rPr>
        <w:t>。</w:t>
      </w:r>
    </w:p>
    <w:p w14:paraId="5C960026">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lang w:val="en-US" w:eastAsia="zh-CN"/>
          <w14:textFill>
            <w14:solidFill>
              <w14:schemeClr w14:val="tx1"/>
            </w14:solidFill>
          </w14:textFill>
        </w:rPr>
        <w:t>2</w:t>
      </w:r>
      <w:r>
        <w:rPr>
          <w:rFonts w:hint="eastAsia" w:ascii="仿宋" w:hAnsi="仿宋" w:eastAsia="仿宋" w:cs="仿宋_GB2312"/>
          <w:color w:val="000000" w:themeColor="text1"/>
          <w:sz w:val="30"/>
          <w:szCs w:val="30"/>
          <w:highlight w:val="none"/>
          <w14:textFill>
            <w14:solidFill>
              <w14:schemeClr w14:val="tx1"/>
            </w14:solidFill>
          </w14:textFill>
        </w:rPr>
        <w:t>、甲方未按本合同约定时间、付款比例足额付款的，支付乙方为主张权利支出的为实现债权的</w:t>
      </w:r>
      <w:r>
        <w:rPr>
          <w:rFonts w:hint="eastAsia" w:ascii="仿宋" w:hAnsi="仿宋" w:eastAsia="仿宋" w:cs="仿宋_GB2312"/>
          <w:color w:val="000000" w:themeColor="text1"/>
          <w:sz w:val="30"/>
          <w:szCs w:val="30"/>
          <w:highlight w:val="none"/>
          <w:lang w:eastAsia="zh-CN"/>
          <w14:textFill>
            <w14:solidFill>
              <w14:schemeClr w14:val="tx1"/>
            </w14:solidFill>
          </w14:textFill>
        </w:rPr>
        <w:t>仲裁</w:t>
      </w:r>
      <w:r>
        <w:rPr>
          <w:rFonts w:hint="eastAsia" w:ascii="仿宋" w:hAnsi="仿宋" w:eastAsia="仿宋" w:cs="仿宋_GB2312"/>
          <w:color w:val="000000" w:themeColor="text1"/>
          <w:sz w:val="30"/>
          <w:szCs w:val="30"/>
          <w:highlight w:val="none"/>
          <w14:textFill>
            <w14:solidFill>
              <w14:schemeClr w14:val="tx1"/>
            </w14:solidFill>
          </w14:textFill>
        </w:rPr>
        <w:t>费、保全费、律师费、差旅费及其他实现债权的费用</w:t>
      </w:r>
      <w:r>
        <w:rPr>
          <w:rFonts w:hint="eastAsia" w:ascii="仿宋" w:hAnsi="仿宋" w:eastAsia="仿宋" w:cs="仿宋_GB2312"/>
          <w:color w:val="000000" w:themeColor="text1"/>
          <w:sz w:val="30"/>
          <w:szCs w:val="30"/>
          <w:highlight w:val="none"/>
          <w:lang w:eastAsia="zh-CN"/>
          <w14:textFill>
            <w14:solidFill>
              <w14:schemeClr w14:val="tx1"/>
            </w14:solidFill>
          </w14:textFill>
        </w:rPr>
        <w:t>；</w:t>
      </w:r>
      <w:r>
        <w:rPr>
          <w:rFonts w:hint="eastAsia" w:ascii="仿宋" w:hAnsi="仿宋" w:eastAsia="仿宋" w:cs="仿宋_GB2312"/>
          <w:color w:val="000000" w:themeColor="text1"/>
          <w:sz w:val="30"/>
          <w:szCs w:val="30"/>
          <w:highlight w:val="none"/>
          <w14:textFill>
            <w14:solidFill>
              <w14:schemeClr w14:val="tx1"/>
            </w14:solidFill>
          </w14:textFill>
        </w:rPr>
        <w:t>以及因未按时付款导致乙方所产生的各项损失（含直、间接损失），乙方有权对甲方作出暂停混凝土供应的处理。</w:t>
      </w:r>
    </w:p>
    <w:p w14:paraId="3D1E7AED">
      <w:pPr>
        <w:pStyle w:val="2"/>
        <w:ind w:firstLine="600" w:firstLineChars="200"/>
        <w:rPr>
          <w:rFonts w:hint="eastAsia" w:eastAsia="仿宋"/>
          <w:color w:val="000000" w:themeColor="text1"/>
          <w:highlight w:val="none"/>
          <w:lang w:val="en-US" w:eastAsia="zh-CN"/>
          <w14:textFill>
            <w14:solidFill>
              <w14:schemeClr w14:val="tx1"/>
            </w14:solidFill>
          </w14:textFill>
        </w:rPr>
      </w:pPr>
      <w:r>
        <w:rPr>
          <w:rFonts w:hint="eastAsia" w:ascii="仿宋" w:hAnsi="仿宋" w:eastAsia="仿宋" w:cs="仿宋_GB2312"/>
          <w:color w:val="000000" w:themeColor="text1"/>
          <w:sz w:val="30"/>
          <w:szCs w:val="30"/>
          <w:highlight w:val="none"/>
          <w:lang w:val="en-US" w:eastAsia="zh-CN"/>
          <w14:textFill>
            <w14:solidFill>
              <w14:schemeClr w14:val="tx1"/>
            </w14:solidFill>
          </w14:textFill>
        </w:rPr>
        <w:t>3、甲方提前一天通知乙方发货（甲方将根据项目现场进度情况分批次通知乙方供货，具体供货时间以甲方通知为准），如乙方未按期供货，将按每延迟一天扣除壹万元的方式扣除乙方履约保证金。</w:t>
      </w:r>
    </w:p>
    <w:p w14:paraId="60F16AA4">
      <w:pPr>
        <w:keepNext w:val="0"/>
        <w:keepLines w:val="0"/>
        <w:pageBreakBefore w:val="0"/>
        <w:widowControl w:val="0"/>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_GB2312"/>
          <w:b/>
          <w:bCs/>
          <w:color w:val="000000" w:themeColor="text1"/>
          <w:sz w:val="30"/>
          <w:szCs w:val="30"/>
          <w:highlight w:val="none"/>
          <w14:textFill>
            <w14:solidFill>
              <w14:schemeClr w14:val="tx1"/>
            </w14:solidFill>
          </w14:textFill>
        </w:rPr>
      </w:pPr>
      <w:r>
        <w:rPr>
          <w:rFonts w:hint="eastAsia" w:ascii="仿宋" w:hAnsi="仿宋" w:eastAsia="仿宋" w:cs="仿宋_GB2312"/>
          <w:b/>
          <w:bCs/>
          <w:color w:val="000000" w:themeColor="text1"/>
          <w:sz w:val="30"/>
          <w:szCs w:val="30"/>
          <w:highlight w:val="none"/>
          <w14:textFill>
            <w14:solidFill>
              <w14:schemeClr w14:val="tx1"/>
            </w14:solidFill>
          </w14:textFill>
        </w:rPr>
        <w:t>十</w:t>
      </w:r>
      <w:r>
        <w:rPr>
          <w:rFonts w:hint="eastAsia" w:ascii="仿宋" w:hAnsi="仿宋" w:eastAsia="仿宋" w:cs="仿宋_GB2312"/>
          <w:b/>
          <w:bCs/>
          <w:color w:val="000000" w:themeColor="text1"/>
          <w:sz w:val="30"/>
          <w:szCs w:val="30"/>
          <w:highlight w:val="none"/>
          <w:lang w:val="en-US" w:eastAsia="zh-CN"/>
          <w14:textFill>
            <w14:solidFill>
              <w14:schemeClr w14:val="tx1"/>
            </w14:solidFill>
          </w14:textFill>
        </w:rPr>
        <w:t>四</w:t>
      </w:r>
      <w:r>
        <w:rPr>
          <w:rFonts w:hint="eastAsia" w:ascii="仿宋" w:hAnsi="仿宋" w:eastAsia="仿宋" w:cs="仿宋_GB2312"/>
          <w:b/>
          <w:bCs/>
          <w:color w:val="000000" w:themeColor="text1"/>
          <w:sz w:val="30"/>
          <w:szCs w:val="30"/>
          <w:highlight w:val="none"/>
          <w14:textFill>
            <w14:solidFill>
              <w14:schemeClr w14:val="tx1"/>
            </w14:solidFill>
          </w14:textFill>
        </w:rPr>
        <w:t>、合同份数及效力：</w:t>
      </w:r>
    </w:p>
    <w:p w14:paraId="774577E7">
      <w:pPr>
        <w:keepNext w:val="0"/>
        <w:keepLines w:val="0"/>
        <w:pageBreakBefore w:val="0"/>
        <w:widowControl w:val="0"/>
        <w:kinsoku/>
        <w:wordWrap/>
        <w:overflowPunct/>
        <w:topLinePunct w:val="0"/>
        <w:autoSpaceDE w:val="0"/>
        <w:autoSpaceDN/>
        <w:bidi w:val="0"/>
        <w:adjustRightInd/>
        <w:snapToGrid/>
        <w:spacing w:line="540" w:lineRule="exact"/>
        <w:ind w:firstLine="600" w:firstLineChars="200"/>
        <w:jc w:val="left"/>
        <w:textAlignment w:val="auto"/>
        <w:rPr>
          <w:rFonts w:hint="eastAsia" w:ascii="仿宋" w:hAnsi="仿宋" w:eastAsia="仿宋" w:cs="仿宋_GB2312"/>
          <w:color w:val="000000" w:themeColor="text1"/>
          <w:sz w:val="30"/>
          <w:szCs w:val="30"/>
          <w:highlight w:val="none"/>
          <w14:textFill>
            <w14:solidFill>
              <w14:schemeClr w14:val="tx1"/>
            </w14:solidFill>
          </w14:textFill>
        </w:rPr>
      </w:pPr>
      <w:r>
        <w:rPr>
          <w:rFonts w:hint="eastAsia" w:ascii="仿宋" w:hAnsi="仿宋" w:eastAsia="仿宋" w:cs="仿宋_GB2312"/>
          <w:color w:val="000000" w:themeColor="text1"/>
          <w:sz w:val="30"/>
          <w:szCs w:val="30"/>
          <w:highlight w:val="none"/>
          <w14:textFill>
            <w14:solidFill>
              <w14:schemeClr w14:val="tx1"/>
            </w14:solidFill>
          </w14:textFill>
        </w:rPr>
        <w:t>本合同自双方加盖公司印章后生效，本合同一式</w:t>
      </w:r>
      <w:r>
        <w:rPr>
          <w:rFonts w:hint="eastAsia" w:ascii="仿宋" w:hAnsi="仿宋" w:eastAsia="仿宋" w:cs="仿宋_GB2312"/>
          <w:color w:val="000000" w:themeColor="text1"/>
          <w:sz w:val="30"/>
          <w:szCs w:val="30"/>
          <w:highlight w:val="none"/>
          <w:lang w:eastAsia="zh-CN"/>
          <w14:textFill>
            <w14:solidFill>
              <w14:schemeClr w14:val="tx1"/>
            </w14:solidFill>
          </w14:textFill>
        </w:rPr>
        <w:t>伍</w:t>
      </w:r>
      <w:r>
        <w:rPr>
          <w:rFonts w:hint="eastAsia" w:ascii="仿宋" w:hAnsi="仿宋" w:eastAsia="仿宋" w:cs="仿宋_GB2312"/>
          <w:color w:val="000000" w:themeColor="text1"/>
          <w:sz w:val="30"/>
          <w:szCs w:val="30"/>
          <w:highlight w:val="none"/>
          <w14:textFill>
            <w14:solidFill>
              <w14:schemeClr w14:val="tx1"/>
            </w14:solidFill>
          </w14:textFill>
        </w:rPr>
        <w:t>份，具有同等法律效力，甲方执</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肆</w:t>
      </w:r>
      <w:r>
        <w:rPr>
          <w:rFonts w:hint="eastAsia" w:ascii="仿宋" w:hAnsi="仿宋" w:eastAsia="仿宋" w:cs="仿宋_GB2312"/>
          <w:color w:val="000000" w:themeColor="text1"/>
          <w:sz w:val="30"/>
          <w:szCs w:val="30"/>
          <w:highlight w:val="none"/>
          <w14:textFill>
            <w14:solidFill>
              <w14:schemeClr w14:val="tx1"/>
            </w14:solidFill>
          </w14:textFill>
        </w:rPr>
        <w:t>份，乙方执</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壹</w:t>
      </w:r>
      <w:r>
        <w:rPr>
          <w:rFonts w:hint="eastAsia" w:ascii="仿宋" w:hAnsi="仿宋" w:eastAsia="仿宋" w:cs="仿宋_GB2312"/>
          <w:color w:val="000000" w:themeColor="text1"/>
          <w:sz w:val="30"/>
          <w:szCs w:val="30"/>
          <w:highlight w:val="none"/>
          <w14:textFill>
            <w14:solidFill>
              <w14:schemeClr w14:val="tx1"/>
            </w14:solidFill>
          </w14:textFill>
        </w:rPr>
        <w:t>份。在办理完毕结算且甲方支付完乙方全部货款后，本合同即告终止。</w:t>
      </w:r>
    </w:p>
    <w:p w14:paraId="7913EA61">
      <w:pPr>
        <w:keepNext w:val="0"/>
        <w:keepLines w:val="0"/>
        <w:pageBreakBefore w:val="0"/>
        <w:widowControl w:val="0"/>
        <w:numPr>
          <w:ilvl w:val="0"/>
          <w:numId w:val="0"/>
        </w:numPr>
        <w:kinsoku/>
        <w:wordWrap/>
        <w:overflowPunct/>
        <w:topLinePunct w:val="0"/>
        <w:autoSpaceDE w:val="0"/>
        <w:autoSpaceDN/>
        <w:bidi w:val="0"/>
        <w:adjustRightInd/>
        <w:snapToGrid/>
        <w:spacing w:line="540" w:lineRule="exact"/>
        <w:ind w:firstLine="602" w:firstLineChars="200"/>
        <w:jc w:val="left"/>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_GB2312"/>
          <w:b/>
          <w:bCs/>
          <w:color w:val="000000" w:themeColor="text1"/>
          <w:sz w:val="30"/>
          <w:szCs w:val="30"/>
          <w:highlight w:val="none"/>
          <w:lang w:val="en-US" w:eastAsia="zh-CN"/>
          <w14:textFill>
            <w14:solidFill>
              <w14:schemeClr w14:val="tx1"/>
            </w14:solidFill>
          </w14:textFill>
        </w:rPr>
        <w:t>十五、</w:t>
      </w:r>
      <w:r>
        <w:rPr>
          <w:rFonts w:hint="eastAsia" w:ascii="仿宋" w:hAnsi="仿宋" w:eastAsia="仿宋" w:cs="仿宋_GB2312"/>
          <w:color w:val="000000" w:themeColor="text1"/>
          <w:sz w:val="30"/>
          <w:szCs w:val="30"/>
          <w:highlight w:val="none"/>
          <w:lang w:val="en-US" w:eastAsia="zh-CN"/>
          <w14:textFill>
            <w14:solidFill>
              <w14:schemeClr w14:val="tx1"/>
            </w14:solidFill>
          </w14:textFill>
        </w:rPr>
        <w:t>其他：</w:t>
      </w:r>
      <w:r>
        <w:rPr>
          <w:rFonts w:hint="eastAsia" w:ascii="仿宋" w:hAnsi="仿宋" w:eastAsia="仿宋" w:cs="仿宋"/>
          <w:color w:val="000000" w:themeColor="text1"/>
          <w:sz w:val="30"/>
          <w:szCs w:val="30"/>
          <w:highlight w:val="none"/>
          <w:lang w:val="en-US" w:eastAsia="zh-CN"/>
          <w14:textFill>
            <w14:solidFill>
              <w14:schemeClr w14:val="tx1"/>
            </w14:solidFill>
          </w14:textFill>
        </w:rPr>
        <w:t>廉洁协议</w:t>
      </w:r>
    </w:p>
    <w:p w14:paraId="787D29C2">
      <w:pPr>
        <w:pStyle w:val="2"/>
        <w:keepNext w:val="0"/>
        <w:keepLines w:val="0"/>
        <w:pageBreakBefore w:val="0"/>
        <w:widowControl w:val="0"/>
        <w:kinsoku/>
        <w:wordWrap/>
        <w:overflowPunct/>
        <w:topLinePunct w:val="0"/>
        <w:autoSpaceDN/>
        <w:bidi w:val="0"/>
        <w:adjustRightInd/>
        <w:snapToGrid/>
        <w:spacing w:line="540" w:lineRule="exact"/>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（以下无正文）</w:t>
      </w:r>
    </w:p>
    <w:p w14:paraId="5871964F">
      <w:pPr>
        <w:rPr>
          <w:rFonts w:hint="eastAsia"/>
          <w:color w:val="000000" w:themeColor="text1"/>
          <w:highlight w:val="none"/>
          <w:lang w:val="en-US" w:eastAsia="zh-CN"/>
          <w14:textFill>
            <w14:solidFill>
              <w14:schemeClr w14:val="tx1"/>
            </w14:solidFill>
          </w14:textFill>
        </w:rPr>
      </w:pPr>
    </w:p>
    <w:p w14:paraId="433FE69F">
      <w:pPr>
        <w:pStyle w:val="2"/>
        <w:rPr>
          <w:rFonts w:hint="eastAsia"/>
          <w:color w:val="000000" w:themeColor="text1"/>
          <w:highlight w:val="none"/>
          <w:lang w:val="en-US" w:eastAsia="zh-CN"/>
          <w14:textFill>
            <w14:solidFill>
              <w14:schemeClr w14:val="tx1"/>
            </w14:solidFill>
          </w14:textFill>
        </w:rPr>
      </w:pPr>
    </w:p>
    <w:p w14:paraId="67019482">
      <w:pPr>
        <w:rPr>
          <w:rFonts w:hint="eastAsia"/>
          <w:lang w:val="en-US" w:eastAsia="zh-CN"/>
        </w:rPr>
      </w:pPr>
    </w:p>
    <w:p w14:paraId="47C397E6">
      <w:pPr>
        <w:rPr>
          <w:rFonts w:hint="eastAsia"/>
          <w:color w:val="000000" w:themeColor="text1"/>
          <w:highlight w:val="none"/>
          <w:lang w:val="en-US" w:eastAsia="zh-CN"/>
          <w14:textFill>
            <w14:solidFill>
              <w14:schemeClr w14:val="tx1"/>
            </w14:solidFill>
          </w14:textFill>
        </w:rPr>
      </w:pPr>
    </w:p>
    <w:p w14:paraId="40048324">
      <w:pPr>
        <w:keepNext w:val="0"/>
        <w:keepLines w:val="0"/>
        <w:pageBreakBefore w:val="0"/>
        <w:widowControl w:val="0"/>
        <w:kinsoku/>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甲方：（盖章）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乙方：（盖章）</w:t>
      </w:r>
    </w:p>
    <w:p w14:paraId="224F2FF0">
      <w:pPr>
        <w:keepNext w:val="0"/>
        <w:keepLines w:val="0"/>
        <w:pageBreakBefore w:val="0"/>
        <w:widowControl w:val="0"/>
        <w:kinsoku/>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法定代表人（签</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/章</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法定代表人：</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p>
    <w:p w14:paraId="389F44A3">
      <w:pPr>
        <w:keepNext w:val="0"/>
        <w:keepLines w:val="0"/>
        <w:pageBreakBefore w:val="0"/>
        <w:widowControl w:val="0"/>
        <w:kinsoku/>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项目负责人：肖遥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委托代理人： </w:t>
      </w:r>
    </w:p>
    <w:p w14:paraId="4E76DA6A">
      <w:pPr>
        <w:keepNext w:val="0"/>
        <w:keepLines w:val="0"/>
        <w:pageBreakBefore w:val="0"/>
        <w:widowControl w:val="0"/>
        <w:kinsoku/>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项目负责人联系电话：18384360716</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联系电话</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p>
    <w:p w14:paraId="5B0E2B33">
      <w:pPr>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开户行：</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中国工商银行股份有限公司合江支行</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开户行：</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 xml:space="preserve"> </w:t>
      </w:r>
    </w:p>
    <w:p w14:paraId="5680CE0A">
      <w:pPr>
        <w:keepNext w:val="0"/>
        <w:keepLines w:val="0"/>
        <w:pageBreakBefore w:val="0"/>
        <w:widowControl w:val="0"/>
        <w:kinsoku/>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账号：2304349109100120091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账号：</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p>
    <w:p w14:paraId="6995DB9C">
      <w:pPr>
        <w:keepNext w:val="0"/>
        <w:keepLines w:val="0"/>
        <w:pageBreakBefore w:val="0"/>
        <w:widowControl w:val="0"/>
        <w:kinsoku/>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税号：91510522MAK9WKB19C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税号：</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p>
    <w:p w14:paraId="7964BD43">
      <w:pPr>
        <w:keepNext w:val="0"/>
        <w:keepLines w:val="0"/>
        <w:pageBreakBefore w:val="0"/>
        <w:widowControl w:val="0"/>
        <w:kinsoku/>
        <w:wordWrap w:val="0"/>
        <w:overflowPunct/>
        <w:topLinePunct w:val="0"/>
        <w:autoSpaceDE/>
        <w:autoSpaceDN/>
        <w:bidi w:val="0"/>
        <w:adjustRightInd/>
        <w:snapToGrid w:val="0"/>
        <w:spacing w:line="560" w:lineRule="exact"/>
        <w:jc w:val="both"/>
        <w:textAlignment w:val="auto"/>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地址：</w:t>
      </w:r>
      <w:r>
        <w:rPr>
          <w:rFonts w:hint="eastAsia" w:ascii="仿宋" w:hAnsi="仿宋" w:eastAsia="仿宋" w:cs="仿宋"/>
          <w:b w:val="0"/>
          <w:bCs/>
          <w:color w:val="000000" w:themeColor="text1"/>
          <w:spacing w:val="-11"/>
          <w:sz w:val="24"/>
          <w:szCs w:val="24"/>
          <w:highlight w:val="none"/>
          <w:lang w:eastAsia="zh-CN"/>
          <w14:textFill>
            <w14:solidFill>
              <w14:schemeClr w14:val="tx1"/>
            </w14:solidFill>
          </w14:textFill>
        </w:rPr>
        <w:t>四川省泸州市合江县白米镇鱼塘街99号</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地址：</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 xml:space="preserve"> </w:t>
      </w:r>
    </w:p>
    <w:p w14:paraId="257E8182">
      <w:pPr>
        <w:keepNext w:val="0"/>
        <w:keepLines w:val="0"/>
        <w:pageBreakBefore w:val="0"/>
        <w:widowControl w:val="0"/>
        <w:kinsoku/>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传真：</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0830-2580322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传真：</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w:t>
      </w:r>
    </w:p>
    <w:p w14:paraId="60277A90">
      <w:pPr>
        <w:keepNext w:val="0"/>
        <w:keepLines w:val="0"/>
        <w:pageBreakBefore w:val="0"/>
        <w:widowControl w:val="0"/>
        <w:kinsoku/>
        <w:overflowPunct/>
        <w:topLinePunct w:val="0"/>
        <w:autoSpaceDE/>
        <w:autoSpaceDN/>
        <w:bidi w:val="0"/>
        <w:adjustRightInd/>
        <w:snapToGrid w:val="0"/>
        <w:spacing w:line="560" w:lineRule="exact"/>
        <w:jc w:val="left"/>
        <w:textAlignment w:val="auto"/>
        <w:rPr>
          <w:rFonts w:hint="eastAsia" w:ascii="仿宋" w:hAnsi="仿宋" w:eastAsia="仿宋" w:cs="仿宋"/>
          <w:b w:val="0"/>
          <w:bCs/>
          <w:color w:val="000000" w:themeColor="text1"/>
          <w:sz w:val="30"/>
          <w:szCs w:val="30"/>
          <w:highlight w:val="none"/>
          <w:lang w:eastAsia="zh-CN"/>
          <w14:textFill>
            <w14:solidFill>
              <w14:schemeClr w14:val="tx1"/>
            </w14:solidFill>
          </w14:textFill>
        </w:rPr>
        <w:sectPr>
          <w:footerReference r:id="rId3" w:type="default"/>
          <w:pgSz w:w="11906" w:h="16838"/>
          <w:pgMar w:top="1440" w:right="1080" w:bottom="1440" w:left="1080" w:header="851" w:footer="992" w:gutter="0"/>
          <w:pgNumType w:fmt="decimal"/>
          <w:cols w:space="720" w:num="1"/>
          <w:docGrid w:type="lines" w:linePitch="312" w:charSpace="0"/>
        </w:sectPr>
      </w:pPr>
      <w:r>
        <w:rPr>
          <w:rFonts w:hint="eastAsia" w:ascii="仿宋" w:hAnsi="仿宋" w:eastAsia="仿宋" w:cs="仿宋"/>
          <w:b w:val="0"/>
          <w:bCs/>
          <w:color w:val="000000" w:themeColor="text1"/>
          <w:sz w:val="30"/>
          <w:szCs w:val="30"/>
          <w:highlight w:val="none"/>
          <w:lang w:eastAsia="zh-CN"/>
          <w14:textFill>
            <w14:solidFill>
              <w14:schemeClr w14:val="tx1"/>
            </w14:solidFill>
          </w14:textFill>
        </w:rPr>
        <w:t>时间：</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2026年  月  日</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时间：</w:t>
      </w:r>
      <w:r>
        <w:rPr>
          <w:rFonts w:hint="eastAsia" w:ascii="仿宋" w:hAnsi="仿宋" w:eastAsia="仿宋" w:cs="仿宋"/>
          <w:b w:val="0"/>
          <w:bCs/>
          <w:color w:val="000000" w:themeColor="text1"/>
          <w:sz w:val="30"/>
          <w:szCs w:val="30"/>
          <w:highlight w:val="none"/>
          <w:lang w:val="en-US" w:eastAsia="zh-CN"/>
          <w14:textFill>
            <w14:solidFill>
              <w14:schemeClr w14:val="tx1"/>
            </w14:solidFill>
          </w14:textFill>
        </w:rPr>
        <w:t>2026年  月  日</w:t>
      </w:r>
      <w:r>
        <w:rPr>
          <w:rFonts w:hint="eastAsia" w:ascii="仿宋" w:hAnsi="仿宋" w:eastAsia="仿宋" w:cs="仿宋"/>
          <w:b w:val="0"/>
          <w:bCs/>
          <w:color w:val="000000" w:themeColor="text1"/>
          <w:sz w:val="30"/>
          <w:szCs w:val="30"/>
          <w:highlight w:val="none"/>
          <w:lang w:eastAsia="zh-CN"/>
          <w14:textFill>
            <w14:solidFill>
              <w14:schemeClr w14:val="tx1"/>
            </w14:solidFill>
          </w14:textFill>
        </w:rPr>
        <w:t xml:space="preserve"> </w:t>
      </w:r>
    </w:p>
    <w:p w14:paraId="2CD5BF16">
      <w:pPr>
        <w:snapToGrid w:val="0"/>
        <w:spacing w:line="360" w:lineRule="auto"/>
        <w:jc w:val="left"/>
        <w:rPr>
          <w:rFonts w:hint="eastAsia" w:ascii="宋体" w:hAnsi="宋体"/>
          <w:b w:val="0"/>
          <w:bCs/>
          <w:color w:val="000000" w:themeColor="text1"/>
          <w:sz w:val="24"/>
          <w:szCs w:val="24"/>
          <w:highlight w:val="none"/>
          <w:lang w:eastAsia="zh-CN"/>
          <w14:textFill>
            <w14:solidFill>
              <w14:schemeClr w14:val="tx1"/>
            </w14:solidFill>
          </w14:textFill>
        </w:rPr>
      </w:pPr>
      <w:r>
        <w:rPr>
          <w:rFonts w:hint="eastAsia" w:ascii="宋体" w:hAnsi="宋体"/>
          <w:b w:val="0"/>
          <w:bCs/>
          <w:color w:val="000000" w:themeColor="text1"/>
          <w:sz w:val="24"/>
          <w:szCs w:val="24"/>
          <w:highlight w:val="none"/>
          <w:lang w:eastAsia="zh-CN"/>
          <w14:textFill>
            <w14:solidFill>
              <w14:schemeClr w14:val="tx1"/>
            </w14:solidFill>
          </w14:textFill>
        </w:rPr>
        <w:t>十五、其他</w:t>
      </w:r>
    </w:p>
    <w:p w14:paraId="48105B93">
      <w:pPr>
        <w:snapToGrid w:val="0"/>
        <w:spacing w:line="360" w:lineRule="auto"/>
        <w:jc w:val="center"/>
        <w:rPr>
          <w:rFonts w:hint="eastAsia" w:ascii="宋体" w:hAnsi="宋体" w:eastAsia="宋体"/>
          <w:b/>
          <w:color w:val="000000" w:themeColor="text1"/>
          <w:sz w:val="32"/>
          <w:szCs w:val="32"/>
          <w:highlight w:val="none"/>
          <w:lang w:eastAsia="zh-CN"/>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廉</w:t>
      </w:r>
      <w:r>
        <w:rPr>
          <w:rFonts w:hint="eastAsia" w:ascii="宋体" w:hAnsi="宋体"/>
          <w:b/>
          <w:color w:val="000000" w:themeColor="text1"/>
          <w:sz w:val="32"/>
          <w:szCs w:val="32"/>
          <w:highlight w:val="none"/>
          <w:lang w:eastAsia="zh-CN"/>
          <w14:textFill>
            <w14:solidFill>
              <w14:schemeClr w14:val="tx1"/>
            </w14:solidFill>
          </w14:textFill>
        </w:rPr>
        <w:t>洁协议</w:t>
      </w:r>
    </w:p>
    <w:p w14:paraId="1E92EE82">
      <w:pPr>
        <w:snapToGrid w:val="0"/>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协议单位</w:t>
      </w:r>
    </w:p>
    <w:p w14:paraId="425A995E">
      <w:pPr>
        <w:snapToGrid w:val="0"/>
        <w:spacing w:line="360" w:lineRule="auto"/>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甲方（全称）：</w:t>
      </w:r>
      <w:r>
        <w:rPr>
          <w:rFonts w:hint="eastAsia" w:ascii="宋体" w:hAnsi="宋体"/>
          <w:b/>
          <w:bCs/>
          <w:color w:val="000000" w:themeColor="text1"/>
          <w:sz w:val="24"/>
          <w:highlight w:val="none"/>
          <w:u w:val="single"/>
          <w:lang w:eastAsia="zh-CN"/>
          <w14:textFill>
            <w14:solidFill>
              <w14:schemeClr w14:val="tx1"/>
            </w14:solidFill>
          </w14:textFill>
        </w:rPr>
        <w:t>泸州兴绿园林绿化有限责任公司合江分公司</w:t>
      </w:r>
      <w:r>
        <w:rPr>
          <w:rFonts w:hint="eastAsia" w:ascii="宋体" w:hAnsi="宋体"/>
          <w:b/>
          <w:bCs/>
          <w:color w:val="000000" w:themeColor="text1"/>
          <w:sz w:val="24"/>
          <w:highlight w:val="none"/>
          <w:u w:val="single"/>
          <w14:textFill>
            <w14:solidFill>
              <w14:schemeClr w14:val="tx1"/>
            </w14:solidFill>
          </w14:textFill>
        </w:rPr>
        <w:t xml:space="preserve"> </w:t>
      </w:r>
    </w:p>
    <w:p w14:paraId="697FF424">
      <w:pPr>
        <w:snapToGrid w:val="0"/>
        <w:spacing w:line="360" w:lineRule="auto"/>
        <w:rPr>
          <w:rFonts w:hint="default" w:ascii="宋体" w:hAnsi="宋体" w:eastAsia="宋体"/>
          <w:b/>
          <w:bCs/>
          <w:color w:val="000000" w:themeColor="text1"/>
          <w:sz w:val="24"/>
          <w:highlight w:val="none"/>
          <w:lang w:val="en-US" w:eastAsia="zh-CN"/>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乙方（全称）：</w:t>
      </w:r>
      <w:r>
        <w:rPr>
          <w:rFonts w:hint="eastAsia" w:ascii="宋体" w:hAnsi="宋体"/>
          <w:b/>
          <w:bCs/>
          <w:color w:val="000000" w:themeColor="text1"/>
          <w:sz w:val="24"/>
          <w:highlight w:val="none"/>
          <w:u w:val="single"/>
          <w:lang w:val="en-US" w:eastAsia="zh-CN"/>
          <w14:textFill>
            <w14:solidFill>
              <w14:schemeClr w14:val="tx1"/>
            </w14:solidFill>
          </w14:textFill>
        </w:rPr>
        <w:t xml:space="preserve">                                       </w:t>
      </w:r>
    </w:p>
    <w:p w14:paraId="4FF8B1C5">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鉴于甲乙双方拟就“</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合同</w:t>
      </w:r>
      <w:r>
        <w:rPr>
          <w:rFonts w:hint="eastAsia" w:ascii="宋体" w:hAnsi="宋体"/>
          <w:color w:val="000000" w:themeColor="text1"/>
          <w:sz w:val="24"/>
          <w:highlight w:val="none"/>
          <w14:textFill>
            <w14:solidFill>
              <w14:schemeClr w14:val="tx1"/>
            </w14:solidFill>
          </w14:textFill>
        </w:rPr>
        <w:t>编号：</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）开展合作，并于</w:t>
      </w:r>
      <w:r>
        <w:rPr>
          <w:rFonts w:hint="eastAsia" w:ascii="宋体" w:hAnsi="宋体"/>
          <w:color w:val="000000" w:themeColor="text1"/>
          <w:sz w:val="24"/>
          <w:highlight w:val="none"/>
          <w:u w:val="single"/>
          <w:lang w:val="en-US" w:eastAsia="zh-CN"/>
          <w14:textFill>
            <w14:solidFill>
              <w14:schemeClr w14:val="tx1"/>
            </w14:solidFill>
          </w14:textFill>
        </w:rPr>
        <w:t xml:space="preserve"> 2026年  月  日</w:t>
      </w:r>
      <w:r>
        <w:rPr>
          <w:rFonts w:hint="eastAsia" w:ascii="宋体" w:hAnsi="宋体"/>
          <w:color w:val="000000" w:themeColor="text1"/>
          <w:sz w:val="24"/>
          <w:highlight w:val="none"/>
          <w14:textFill>
            <w14:solidFill>
              <w14:schemeClr w14:val="tx1"/>
            </w14:solidFill>
          </w14:textFill>
        </w:rPr>
        <w:t>签订了《</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下称“主合同”）。为深入贯彻国家关于全面从严治党的方针政策和法律法规，维护公平公正的市场秩序，防止商业贿赂和不正当竞争行为，保障项目廉洁、规范、高效实施，保护双方合法权益，甲乙双方经平等协商，依据《中华人民共和国反不正当竞争法》《中华人民共和国监察法》等相关规定，特订立本廉洁协议，共同遵守：</w:t>
      </w:r>
    </w:p>
    <w:p w14:paraId="7A7AE275">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一、乙方保证，其本身及其工作人员、关联方、分包商或供应商均不得：</w:t>
      </w:r>
    </w:p>
    <w:p w14:paraId="1B7A4DCB">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向甲方工作人员及其亲属、特定关系人直接或间接给付、承诺、授权或输送任何形式的不正当利益，以换取任何商业机会、合同签订、价款支付、验收通过或其他优惠条件；</w:t>
      </w:r>
    </w:p>
    <w:p w14:paraId="4101E000">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为甲方工作人员及其亲属、特定关系人安排本协议禁止的活动或支付、报销私人费用；</w:t>
      </w:r>
    </w:p>
    <w:p w14:paraId="37B16C04">
      <w:pPr>
        <w:snapToGrid w:val="0"/>
        <w:spacing w:line="360" w:lineRule="auto"/>
        <w:ind w:left="239" w:leftChars="114" w:firstLine="307" w:firstLineChars="128"/>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通过串通投标、弄虚作假、伪造资质等任何不正当竞争手段参与甲方项目。</w:t>
      </w:r>
      <w:r>
        <w:rPr>
          <w:rFonts w:hint="eastAsia" w:ascii="宋体" w:hAnsi="宋体"/>
          <w:color w:val="000000" w:themeColor="text1"/>
          <w:sz w:val="24"/>
          <w:highlight w:val="none"/>
          <w:lang w:val="en-US" w:eastAsia="zh-CN"/>
          <w14:textFill>
            <w14:solidFill>
              <w14:schemeClr w14:val="tx1"/>
            </w14:solidFill>
          </w14:textFill>
        </w:rPr>
        <w:t xml:space="preserve"> </w:t>
      </w:r>
    </w:p>
    <w:p w14:paraId="0CEEEFDE">
      <w:pPr>
        <w:snapToGrid w:val="0"/>
        <w:spacing w:line="360" w:lineRule="auto"/>
        <w:ind w:left="239" w:leftChars="114" w:firstLine="307" w:firstLineChars="128"/>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如有违反，将视情节轻重对甲方人员给予批评、教育、罚款直至法律处分，对乙方给予扣减工程款</w:t>
      </w:r>
      <w:r>
        <w:rPr>
          <w:rFonts w:hint="eastAsia" w:ascii="宋体" w:hAnsi="宋体"/>
          <w:color w:val="000000" w:themeColor="text1"/>
          <w:sz w:val="24"/>
          <w:highlight w:val="none"/>
          <w:lang w:eastAsia="zh-CN"/>
          <w14:textFill>
            <w14:solidFill>
              <w14:schemeClr w14:val="tx1"/>
            </w14:solidFill>
          </w14:textFill>
        </w:rPr>
        <w:t>13%</w:t>
      </w:r>
      <w:r>
        <w:rPr>
          <w:rFonts w:hint="eastAsia" w:ascii="宋体" w:hAnsi="宋体"/>
          <w:color w:val="000000" w:themeColor="text1"/>
          <w:sz w:val="24"/>
          <w:highlight w:val="none"/>
          <w14:textFill>
            <w14:solidFill>
              <w14:schemeClr w14:val="tx1"/>
            </w14:solidFill>
          </w14:textFill>
        </w:rPr>
        <w:t>-5%，直至终止合同</w:t>
      </w:r>
    </w:p>
    <w:p w14:paraId="158B845D">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乙方有义务对其员工和分包商进行廉洁教育，并对其违反本协议的行为承担连带责任。</w:t>
      </w:r>
    </w:p>
    <w:p w14:paraId="52BE726F">
      <w:pPr>
        <w:snapToGrid w:val="0"/>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三</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乙方</w:t>
      </w:r>
      <w:r>
        <w:rPr>
          <w:rFonts w:hint="eastAsia" w:ascii="宋体" w:hAnsi="宋体" w:cs="宋体"/>
          <w:color w:val="000000" w:themeColor="text1"/>
          <w:sz w:val="24"/>
          <w:highlight w:val="none"/>
          <w14:textFill>
            <w14:solidFill>
              <w14:schemeClr w14:val="tx1"/>
            </w14:solidFill>
          </w14:textFill>
        </w:rPr>
        <w:t>在工程项目建设中有贿赂</w:t>
      </w:r>
      <w:r>
        <w:rPr>
          <w:rFonts w:hint="eastAsia" w:ascii="宋体" w:hAnsi="宋体"/>
          <w:color w:val="000000" w:themeColor="text1"/>
          <w:sz w:val="24"/>
          <w:highlight w:val="none"/>
          <w14:textFill>
            <w14:solidFill>
              <w14:schemeClr w14:val="tx1"/>
            </w14:solidFill>
          </w14:textFill>
        </w:rPr>
        <w:t>甲方</w:t>
      </w:r>
      <w:r>
        <w:rPr>
          <w:rFonts w:hint="eastAsia" w:ascii="宋体" w:hAnsi="宋体" w:cs="宋体"/>
          <w:color w:val="000000" w:themeColor="text1"/>
          <w:sz w:val="24"/>
          <w:highlight w:val="none"/>
          <w14:textFill>
            <w14:solidFill>
              <w14:schemeClr w14:val="tx1"/>
            </w14:solidFill>
          </w14:textFill>
        </w:rPr>
        <w:t>人员，被纪检、监察、检察机关立案查处的，</w:t>
      </w:r>
      <w:r>
        <w:rPr>
          <w:rFonts w:hint="eastAsia" w:ascii="宋体" w:hAnsi="宋体"/>
          <w:color w:val="000000" w:themeColor="text1"/>
          <w:sz w:val="24"/>
          <w:highlight w:val="none"/>
          <w14:textFill>
            <w14:solidFill>
              <w14:schemeClr w14:val="tx1"/>
            </w14:solidFill>
          </w14:textFill>
        </w:rPr>
        <w:t>甲方</w:t>
      </w:r>
      <w:r>
        <w:rPr>
          <w:rFonts w:hint="eastAsia" w:ascii="宋体" w:hAnsi="宋体" w:cs="宋体"/>
          <w:color w:val="000000" w:themeColor="text1"/>
          <w:sz w:val="24"/>
          <w:highlight w:val="none"/>
          <w14:textFill>
            <w14:solidFill>
              <w14:schemeClr w14:val="tx1"/>
            </w14:solidFill>
          </w14:textFill>
        </w:rPr>
        <w:t>有权终止工程项目施工合同，由此造成的一切损失均由</w:t>
      </w:r>
      <w:r>
        <w:rPr>
          <w:rFonts w:hint="eastAsia" w:ascii="宋体" w:hAnsi="宋体"/>
          <w:color w:val="000000" w:themeColor="text1"/>
          <w:sz w:val="24"/>
          <w:highlight w:val="none"/>
          <w14:textFill>
            <w14:solidFill>
              <w14:schemeClr w14:val="tx1"/>
            </w14:solidFill>
          </w14:textFill>
        </w:rPr>
        <w:t>乙方</w:t>
      </w:r>
      <w:r>
        <w:rPr>
          <w:rFonts w:hint="eastAsia" w:ascii="宋体" w:hAnsi="宋体" w:cs="宋体"/>
          <w:color w:val="000000" w:themeColor="text1"/>
          <w:sz w:val="24"/>
          <w:highlight w:val="none"/>
          <w14:textFill>
            <w14:solidFill>
              <w14:schemeClr w14:val="tx1"/>
            </w14:solidFill>
          </w14:textFill>
        </w:rPr>
        <w:t>承担，并负责由此发生的一切费用（在工程款中扣除）。</w:t>
      </w:r>
    </w:p>
    <w:p w14:paraId="7CE4B80B">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四</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甲方工作人员在业务往来中应恪守以下纪律：</w:t>
      </w:r>
    </w:p>
    <w:p w14:paraId="58A5BCB2">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不得索取、收受或变相收受乙方及其关联方给予的任何形式的贿赂或利益输送，包括但不限于现金、礼品、有价证券、支付凭证、佣金、回扣等；</w:t>
      </w:r>
    </w:p>
    <w:p w14:paraId="70F4DD94">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不得接受可能影响公正执行公务的宴请、旅游、健身、娱乐等活动安排；</w:t>
      </w:r>
    </w:p>
    <w:p w14:paraId="5650215E">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不得要求、暗示或接受乙方为其个人或特定关系人支付或报销任何费用；</w:t>
      </w:r>
    </w:p>
    <w:p w14:paraId="0B69F63A">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不得向乙方泄露招标标底、评审委员会成员信息、商业秘密等内部敏感信息；</w:t>
      </w:r>
    </w:p>
    <w:p w14:paraId="1616E6F5">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不得利用职权或职务影响，为乙方或特定关系人谋取不正当利益或干预项目的正常进行。</w:t>
      </w:r>
    </w:p>
    <w:p w14:paraId="37918307">
      <w:pPr>
        <w:snapToGrid w:val="0"/>
        <w:spacing w:line="360" w:lineRule="auto"/>
        <w:ind w:firstLine="48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五、</w:t>
      </w:r>
      <w:r>
        <w:rPr>
          <w:rFonts w:hint="eastAsia" w:ascii="宋体" w:hAnsi="宋体"/>
          <w:color w:val="000000" w:themeColor="text1"/>
          <w:sz w:val="24"/>
          <w:highlight w:val="none"/>
          <w14:textFill>
            <w14:solidFill>
              <w14:schemeClr w14:val="tx1"/>
            </w14:solidFill>
          </w14:textFill>
        </w:rPr>
        <w:t>甲方有权对乙方履行本协议的情况进行监督、检查和审计。甲方纪检监察、审计、法律等部门有权就廉洁事项约谈乙方相关人员、查阅相关资料，乙方应予以配合。</w:t>
      </w:r>
    </w:p>
    <w:p w14:paraId="15EEBED7">
      <w:pPr>
        <w:snapToGrid w:val="0"/>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六</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甲乙</w:t>
      </w:r>
      <w:r>
        <w:rPr>
          <w:rFonts w:hint="eastAsia" w:ascii="宋体" w:hAnsi="宋体" w:cs="宋体"/>
          <w:color w:val="000000" w:themeColor="text1"/>
          <w:sz w:val="24"/>
          <w:highlight w:val="none"/>
          <w14:textFill>
            <w14:solidFill>
              <w14:schemeClr w14:val="tx1"/>
            </w14:solidFill>
          </w14:textFill>
        </w:rPr>
        <w:t>双方人员禁止赠送、贿赂、索要行为的发生，如遇一方发生，另一方当事人应当报告单位领导和当地纪检、监察、检察机关，对不主动报告情况的有关人员，一经查处视情节轻重给予党纪、政纪直至法律处分。</w:t>
      </w:r>
    </w:p>
    <w:p w14:paraId="38195300">
      <w:pPr>
        <w:snapToGrid w:val="0"/>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七</w:t>
      </w:r>
      <w:r>
        <w:rPr>
          <w:rFonts w:hint="eastAsia" w:ascii="宋体" w:hAnsi="宋体" w:cs="宋体"/>
          <w:color w:val="000000" w:themeColor="text1"/>
          <w:sz w:val="24"/>
          <w:highlight w:val="none"/>
          <w14:textFill>
            <w14:solidFill>
              <w14:schemeClr w14:val="tx1"/>
            </w14:solidFill>
          </w14:textFill>
        </w:rPr>
        <w:t>、此协议与工程承包协议同时签定，</w:t>
      </w:r>
      <w:r>
        <w:rPr>
          <w:rFonts w:hint="eastAsia" w:ascii="宋体" w:hAnsi="宋体" w:cs="宋体"/>
          <w:bCs/>
          <w:color w:val="000000" w:themeColor="text1"/>
          <w:kern w:val="0"/>
          <w:sz w:val="24"/>
          <w:highlight w:val="none"/>
          <w:lang w:bidi="ar"/>
          <w14:textFill>
            <w14:solidFill>
              <w14:schemeClr w14:val="tx1"/>
            </w14:solidFill>
          </w14:textFill>
        </w:rPr>
        <w:t>甲方</w:t>
      </w:r>
      <w:bookmarkStart w:id="0" w:name="_GoBack"/>
      <w:bookmarkEnd w:id="0"/>
      <w:r>
        <w:rPr>
          <w:rFonts w:ascii="宋体" w:hAnsi="宋体" w:cs="宋体"/>
          <w:bCs/>
          <w:color w:val="000000" w:themeColor="text1"/>
          <w:kern w:val="0"/>
          <w:sz w:val="24"/>
          <w:highlight w:val="none"/>
          <w:lang w:bidi="ar"/>
          <w14:textFill>
            <w14:solidFill>
              <w14:schemeClr w14:val="tx1"/>
            </w14:solidFill>
          </w14:textFill>
        </w:rPr>
        <w:t>执</w:t>
      </w:r>
      <w:r>
        <w:rPr>
          <w:rFonts w:hint="eastAsia" w:ascii="宋体" w:hAnsi="宋体" w:cs="宋体"/>
          <w:bCs/>
          <w:color w:val="000000" w:themeColor="text1"/>
          <w:kern w:val="0"/>
          <w:sz w:val="24"/>
          <w:highlight w:val="none"/>
          <w:lang w:eastAsia="zh-CN" w:bidi="ar"/>
          <w14:textFill>
            <w14:solidFill>
              <w14:schemeClr w14:val="tx1"/>
            </w14:solidFill>
          </w14:textFill>
        </w:rPr>
        <w:t>肆</w:t>
      </w:r>
      <w:r>
        <w:rPr>
          <w:rFonts w:ascii="宋体" w:hAnsi="宋体" w:cs="宋体"/>
          <w:bCs/>
          <w:color w:val="000000" w:themeColor="text1"/>
          <w:kern w:val="0"/>
          <w:sz w:val="24"/>
          <w:highlight w:val="none"/>
          <w:lang w:bidi="ar"/>
          <w14:textFill>
            <w14:solidFill>
              <w14:schemeClr w14:val="tx1"/>
            </w14:solidFill>
          </w14:textFill>
        </w:rPr>
        <w:t>份，</w:t>
      </w:r>
      <w:r>
        <w:rPr>
          <w:rFonts w:hint="eastAsia" w:ascii="宋体" w:hAnsi="宋体" w:cs="宋体"/>
          <w:bCs/>
          <w:color w:val="000000" w:themeColor="text1"/>
          <w:kern w:val="0"/>
          <w:sz w:val="24"/>
          <w:highlight w:val="none"/>
          <w:lang w:bidi="ar"/>
          <w14:textFill>
            <w14:solidFill>
              <w14:schemeClr w14:val="tx1"/>
            </w14:solidFill>
          </w14:textFill>
        </w:rPr>
        <w:t>乙方执</w:t>
      </w:r>
      <w:r>
        <w:rPr>
          <w:rFonts w:hint="eastAsia" w:ascii="宋体" w:hAnsi="宋体" w:cs="宋体"/>
          <w:bCs/>
          <w:color w:val="000000" w:themeColor="text1"/>
          <w:kern w:val="0"/>
          <w:sz w:val="24"/>
          <w:highlight w:val="none"/>
          <w:lang w:eastAsia="zh-CN" w:bidi="ar"/>
          <w14:textFill>
            <w14:solidFill>
              <w14:schemeClr w14:val="tx1"/>
            </w14:solidFill>
          </w14:textFill>
        </w:rPr>
        <w:t>壹</w:t>
      </w:r>
      <w:r>
        <w:rPr>
          <w:rFonts w:hint="eastAsia" w:ascii="宋体" w:hAnsi="宋体" w:cs="宋体"/>
          <w:bCs/>
          <w:color w:val="000000" w:themeColor="text1"/>
          <w:kern w:val="0"/>
          <w:sz w:val="24"/>
          <w:highlight w:val="none"/>
          <w:lang w:bidi="ar"/>
          <w14:textFill>
            <w14:solidFill>
              <w14:schemeClr w14:val="tx1"/>
            </w14:solidFill>
          </w14:textFill>
        </w:rPr>
        <w:t>份，</w:t>
      </w:r>
      <w:r>
        <w:rPr>
          <w:rFonts w:ascii="宋体" w:hAnsi="宋体" w:cs="宋体"/>
          <w:bCs/>
          <w:color w:val="000000" w:themeColor="text1"/>
          <w:kern w:val="0"/>
          <w:sz w:val="24"/>
          <w:highlight w:val="none"/>
          <w:lang w:bidi="ar"/>
          <w14:textFill>
            <w14:solidFill>
              <w14:schemeClr w14:val="tx1"/>
            </w14:solidFill>
          </w14:textFill>
        </w:rPr>
        <w:t>均具同等效力</w:t>
      </w:r>
      <w:r>
        <w:rPr>
          <w:rFonts w:hint="eastAsia" w:ascii="宋体" w:hAnsi="宋体" w:cs="宋体"/>
          <w:bCs/>
          <w:color w:val="000000" w:themeColor="text1"/>
          <w:kern w:val="0"/>
          <w:sz w:val="24"/>
          <w:highlight w:val="none"/>
          <w:lang w:bidi="ar"/>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以便监督。</w:t>
      </w:r>
    </w:p>
    <w:p w14:paraId="351407E3">
      <w:pPr>
        <w:snapToGrid w:val="0"/>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六、此协议自双方</w:t>
      </w:r>
      <w:r>
        <w:rPr>
          <w:rFonts w:hint="eastAsia" w:ascii="宋体" w:hAnsi="宋体" w:cs="宋体"/>
          <w:color w:val="000000" w:themeColor="text1"/>
          <w:sz w:val="24"/>
          <w:highlight w:val="none"/>
          <w:lang w:eastAsia="zh-CN"/>
          <w14:textFill>
            <w14:solidFill>
              <w14:schemeClr w14:val="tx1"/>
            </w14:solidFill>
          </w14:textFill>
        </w:rPr>
        <w:t>盖章</w:t>
      </w:r>
      <w:r>
        <w:rPr>
          <w:rFonts w:hint="eastAsia" w:ascii="宋体" w:hAnsi="宋体" w:cs="宋体"/>
          <w:color w:val="000000" w:themeColor="text1"/>
          <w:sz w:val="24"/>
          <w:highlight w:val="none"/>
          <w14:textFill>
            <w14:solidFill>
              <w14:schemeClr w14:val="tx1"/>
            </w14:solidFill>
          </w14:textFill>
        </w:rPr>
        <w:t>之日生效。</w:t>
      </w:r>
    </w:p>
    <w:p w14:paraId="71EEF158">
      <w:pPr>
        <w:snapToGrid w:val="0"/>
        <w:spacing w:line="360" w:lineRule="auto"/>
        <w:rPr>
          <w:rFonts w:hint="eastAsia" w:ascii="宋体" w:hAnsi="宋体" w:cs="宋体"/>
          <w:color w:val="000000" w:themeColor="text1"/>
          <w:sz w:val="24"/>
          <w:highlight w:val="none"/>
          <w14:textFill>
            <w14:solidFill>
              <w14:schemeClr w14:val="tx1"/>
            </w14:solidFill>
          </w14:textFill>
        </w:rPr>
      </w:pPr>
    </w:p>
    <w:p w14:paraId="4C607198">
      <w:pPr>
        <w:snapToGrid w:val="0"/>
        <w:spacing w:line="480" w:lineRule="auto"/>
        <w:ind w:firstLine="480"/>
        <w:rPr>
          <w:rFonts w:hint="eastAsia" w:ascii="宋体" w:hAnsi="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甲方：</w:t>
      </w:r>
      <w:r>
        <w:rPr>
          <w:rFonts w:hint="eastAsia" w:ascii="宋体" w:hAnsi="宋体" w:cs="宋体"/>
          <w:color w:val="000000" w:themeColor="text1"/>
          <w:sz w:val="24"/>
          <w:highlight w:val="none"/>
          <w:lang w:eastAsia="zh-CN"/>
          <w14:textFill>
            <w14:solidFill>
              <w14:schemeClr w14:val="tx1"/>
            </w14:solidFill>
          </w14:textFill>
        </w:rPr>
        <w:t>（盖章）</w:t>
      </w:r>
      <w:r>
        <w:rPr>
          <w:rFonts w:hint="eastAsia" w:ascii="宋体" w:hAnsi="宋体" w:cs="宋体"/>
          <w:color w:val="000000" w:themeColor="text1"/>
          <w:sz w:val="24"/>
          <w:highlight w:val="none"/>
          <w14:textFill>
            <w14:solidFill>
              <w14:schemeClr w14:val="tx1"/>
            </w14:solidFill>
          </w14:textFill>
        </w:rPr>
        <w:t xml:space="preserve">             　　　       乙方：</w:t>
      </w:r>
      <w:r>
        <w:rPr>
          <w:rFonts w:hint="eastAsia" w:ascii="宋体" w:hAnsi="宋体" w:cs="宋体"/>
          <w:color w:val="000000" w:themeColor="text1"/>
          <w:sz w:val="24"/>
          <w:highlight w:val="none"/>
          <w:lang w:eastAsia="zh-CN"/>
          <w14:textFill>
            <w14:solidFill>
              <w14:schemeClr w14:val="tx1"/>
            </w14:solidFill>
          </w14:textFill>
        </w:rPr>
        <w:t>（盖章）</w:t>
      </w:r>
    </w:p>
    <w:p w14:paraId="583947A7">
      <w:pPr>
        <w:snapToGrid w:val="0"/>
        <w:spacing w:line="48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法定代表人（签</w:t>
      </w:r>
      <w:r>
        <w:rPr>
          <w:rFonts w:hint="eastAsia" w:ascii="宋体" w:hAnsi="宋体" w:cs="宋体"/>
          <w:color w:val="000000" w:themeColor="text1"/>
          <w:sz w:val="24"/>
          <w:highlight w:val="none"/>
          <w:lang w:val="en-US" w:eastAsia="zh-CN"/>
          <w14:textFill>
            <w14:solidFill>
              <w14:schemeClr w14:val="tx1"/>
            </w14:solidFill>
          </w14:textFill>
        </w:rPr>
        <w:t>/章</w:t>
      </w:r>
      <w:r>
        <w:rPr>
          <w:rFonts w:hint="eastAsia" w:ascii="宋体" w:hAnsi="宋体" w:cs="宋体"/>
          <w:color w:val="000000" w:themeColor="text1"/>
          <w:sz w:val="24"/>
          <w:highlight w:val="none"/>
          <w14:textFill>
            <w14:solidFill>
              <w14:schemeClr w14:val="tx1"/>
            </w14:solidFill>
          </w14:textFill>
        </w:rPr>
        <w:t>）：　　　　　　       法定代表人（签</w:t>
      </w:r>
      <w:r>
        <w:rPr>
          <w:rFonts w:hint="eastAsia" w:ascii="宋体" w:hAnsi="宋体" w:cs="宋体"/>
          <w:color w:val="000000" w:themeColor="text1"/>
          <w:sz w:val="24"/>
          <w:highlight w:val="none"/>
          <w:lang w:val="en-US" w:eastAsia="zh-CN"/>
          <w14:textFill>
            <w14:solidFill>
              <w14:schemeClr w14:val="tx1"/>
            </w14:solidFill>
          </w14:textFill>
        </w:rPr>
        <w:t>/章</w:t>
      </w:r>
      <w:r>
        <w:rPr>
          <w:rFonts w:hint="eastAsia" w:ascii="宋体" w:hAnsi="宋体" w:cs="宋体"/>
          <w:color w:val="000000" w:themeColor="text1"/>
          <w:sz w:val="24"/>
          <w:highlight w:val="none"/>
          <w14:textFill>
            <w14:solidFill>
              <w14:schemeClr w14:val="tx1"/>
            </w14:solidFill>
          </w14:textFill>
        </w:rPr>
        <w:t>）：</w:t>
      </w:r>
    </w:p>
    <w:p w14:paraId="3C45D3B7">
      <w:pPr>
        <w:snapToGrid w:val="0"/>
        <w:spacing w:line="48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或</w:t>
      </w:r>
      <w:r>
        <w:rPr>
          <w:rFonts w:hint="eastAsia" w:ascii="宋体" w:hAnsi="宋体" w:cs="宋体"/>
          <w:color w:val="000000" w:themeColor="text1"/>
          <w:sz w:val="24"/>
          <w:highlight w:val="none"/>
          <w14:textFill>
            <w14:solidFill>
              <w14:schemeClr w14:val="tx1"/>
            </w14:solidFill>
          </w14:textFill>
        </w:rPr>
        <w:t>授权委托人（签</w:t>
      </w:r>
      <w:r>
        <w:rPr>
          <w:rFonts w:hint="eastAsia" w:ascii="宋体" w:hAnsi="宋体" w:cs="宋体"/>
          <w:color w:val="000000" w:themeColor="text1"/>
          <w:sz w:val="24"/>
          <w:highlight w:val="none"/>
          <w:lang w:val="en-US" w:eastAsia="zh-CN"/>
          <w14:textFill>
            <w14:solidFill>
              <w14:schemeClr w14:val="tx1"/>
            </w14:solidFill>
          </w14:textFill>
        </w:rPr>
        <w:t>/章</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lang w:eastAsia="zh-CN"/>
          <w14:textFill>
            <w14:solidFill>
              <w14:schemeClr w14:val="tx1"/>
            </w14:solidFill>
          </w14:textFill>
        </w:rPr>
        <w:t>或</w:t>
      </w:r>
      <w:r>
        <w:rPr>
          <w:rFonts w:hint="eastAsia" w:ascii="宋体" w:hAnsi="宋体" w:cs="宋体"/>
          <w:color w:val="000000" w:themeColor="text1"/>
          <w:sz w:val="24"/>
          <w:highlight w:val="none"/>
          <w14:textFill>
            <w14:solidFill>
              <w14:schemeClr w14:val="tx1"/>
            </w14:solidFill>
          </w14:textFill>
        </w:rPr>
        <w:t>授权委托人（签</w:t>
      </w:r>
      <w:r>
        <w:rPr>
          <w:rFonts w:hint="eastAsia" w:ascii="宋体" w:hAnsi="宋体" w:cs="宋体"/>
          <w:color w:val="000000" w:themeColor="text1"/>
          <w:sz w:val="24"/>
          <w:highlight w:val="none"/>
          <w:lang w:val="en-US" w:eastAsia="zh-CN"/>
          <w14:textFill>
            <w14:solidFill>
              <w14:schemeClr w14:val="tx1"/>
            </w14:solidFill>
          </w14:textFill>
        </w:rPr>
        <w:t>/章</w:t>
      </w:r>
      <w:r>
        <w:rPr>
          <w:rFonts w:hint="eastAsia" w:ascii="宋体" w:hAnsi="宋体" w:cs="宋体"/>
          <w:color w:val="000000" w:themeColor="text1"/>
          <w:sz w:val="24"/>
          <w:highlight w:val="none"/>
          <w14:textFill>
            <w14:solidFill>
              <w14:schemeClr w14:val="tx1"/>
            </w14:solidFill>
          </w14:textFill>
        </w:rPr>
        <w:t>）：</w:t>
      </w:r>
    </w:p>
    <w:p w14:paraId="2750357B">
      <w:pPr>
        <w:pStyle w:val="2"/>
        <w:ind w:firstLine="480" w:firstLineChars="200"/>
        <w:rPr>
          <w:color w:val="000000" w:themeColor="text1"/>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2026年  月  日</w:t>
      </w:r>
      <w:r>
        <w:rPr>
          <w:rFonts w:hint="eastAsia" w:ascii="宋体" w:hAnsi="宋体" w:cs="宋体"/>
          <w:color w:val="000000" w:themeColor="text1"/>
          <w:sz w:val="24"/>
          <w:highlight w:val="none"/>
          <w14:textFill>
            <w14:solidFill>
              <w14:schemeClr w14:val="tx1"/>
            </w14:solidFill>
          </w14:textFill>
        </w:rPr>
        <w:t>　　　　　　</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w:t>
      </w:r>
      <w:r>
        <w:rPr>
          <w:rFonts w:hint="eastAsia" w:ascii="宋体" w:hAnsi="宋体" w:cs="宋体"/>
          <w:color w:val="000000" w:themeColor="text1"/>
          <w:sz w:val="24"/>
          <w:highlight w:val="none"/>
          <w:lang w:val="en-US" w:eastAsia="zh-CN"/>
          <w14:textFill>
            <w14:solidFill>
              <w14:schemeClr w14:val="tx1"/>
            </w14:solidFill>
          </w14:textFill>
        </w:rPr>
        <w:t xml:space="preserve">      2026年  月  日</w:t>
      </w:r>
    </w:p>
    <w:p w14:paraId="35A825FE">
      <w:pPr>
        <w:snapToGrid w:val="0"/>
        <w:spacing w:line="480" w:lineRule="auto"/>
        <w:ind w:firstLine="480"/>
        <w:rPr>
          <w:rFonts w:hint="eastAsia" w:ascii="仿宋" w:hAnsi="仿宋" w:eastAsia="仿宋" w:cs="仿宋"/>
          <w:color w:val="000000" w:themeColor="text1"/>
          <w:spacing w:val="0"/>
          <w:sz w:val="28"/>
          <w:szCs w:val="28"/>
          <w:highlight w:val="none"/>
          <w:lang w:val="en-US" w:eastAsia="zh-CN"/>
          <w14:textFill>
            <w14:solidFill>
              <w14:schemeClr w14:val="tx1"/>
            </w14:solidFill>
          </w14:textFill>
        </w:rPr>
      </w:pPr>
    </w:p>
    <w:p w14:paraId="6B8364C5">
      <w:pPr>
        <w:snapToGrid w:val="0"/>
        <w:spacing w:line="480" w:lineRule="auto"/>
        <w:ind w:firstLine="480"/>
        <w:rPr>
          <w:rFonts w:hint="eastAsia" w:ascii="仿宋" w:hAnsi="仿宋" w:eastAsia="仿宋" w:cs="仿宋"/>
          <w:color w:val="auto"/>
          <w:spacing w:val="0"/>
          <w:sz w:val="28"/>
          <w:szCs w:val="28"/>
          <w:highlight w:val="none"/>
          <w:lang w:val="en-US" w:eastAsia="zh-CN"/>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B454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1973CD">
                          <w:pPr>
                            <w:pStyle w:val="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21973CD">
                    <w:pPr>
                      <w:pStyle w:val="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5ED8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266CC1">
                          <w:pPr>
                            <w:pStyle w:val="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4266CC1">
                    <w:pPr>
                      <w:pStyle w:val="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lYjRkZWFmYWY2YTdhYmIxZjEwMmZmYjYzYTM5ZWQifQ=="/>
  </w:docVars>
  <w:rsids>
    <w:rsidRoot w:val="2B57544C"/>
    <w:rsid w:val="004E0863"/>
    <w:rsid w:val="00997D30"/>
    <w:rsid w:val="01203FAE"/>
    <w:rsid w:val="013637D1"/>
    <w:rsid w:val="01E44FDB"/>
    <w:rsid w:val="02870DB9"/>
    <w:rsid w:val="02A816E8"/>
    <w:rsid w:val="077741FC"/>
    <w:rsid w:val="08493DEA"/>
    <w:rsid w:val="0A82332B"/>
    <w:rsid w:val="0B506DCF"/>
    <w:rsid w:val="0C383441"/>
    <w:rsid w:val="0E1924B1"/>
    <w:rsid w:val="0F833F2D"/>
    <w:rsid w:val="0FA97CC1"/>
    <w:rsid w:val="10521CAA"/>
    <w:rsid w:val="10686DD7"/>
    <w:rsid w:val="11252F1A"/>
    <w:rsid w:val="150202CF"/>
    <w:rsid w:val="151922D7"/>
    <w:rsid w:val="155C1A21"/>
    <w:rsid w:val="156C2EC6"/>
    <w:rsid w:val="16766AED"/>
    <w:rsid w:val="173D7210"/>
    <w:rsid w:val="186A397B"/>
    <w:rsid w:val="18811394"/>
    <w:rsid w:val="18C80D5B"/>
    <w:rsid w:val="19197809"/>
    <w:rsid w:val="19720CC7"/>
    <w:rsid w:val="19793E03"/>
    <w:rsid w:val="19831126"/>
    <w:rsid w:val="198D5B01"/>
    <w:rsid w:val="19DB061A"/>
    <w:rsid w:val="1A037BA3"/>
    <w:rsid w:val="1A9C424D"/>
    <w:rsid w:val="1AF73308"/>
    <w:rsid w:val="1B010C3A"/>
    <w:rsid w:val="1B6A60FA"/>
    <w:rsid w:val="1B9F1A4D"/>
    <w:rsid w:val="1C1E6EE4"/>
    <w:rsid w:val="1CD714E1"/>
    <w:rsid w:val="1CF87735"/>
    <w:rsid w:val="1D247B2E"/>
    <w:rsid w:val="1D4D7A81"/>
    <w:rsid w:val="1D81772B"/>
    <w:rsid w:val="1D9B4C90"/>
    <w:rsid w:val="1DF75C3F"/>
    <w:rsid w:val="1FFB7C68"/>
    <w:rsid w:val="22455000"/>
    <w:rsid w:val="22EA7B20"/>
    <w:rsid w:val="235D7978"/>
    <w:rsid w:val="23614286"/>
    <w:rsid w:val="24C12802"/>
    <w:rsid w:val="26526108"/>
    <w:rsid w:val="27E80249"/>
    <w:rsid w:val="284F7BE5"/>
    <w:rsid w:val="28EC7B31"/>
    <w:rsid w:val="29114058"/>
    <w:rsid w:val="29167534"/>
    <w:rsid w:val="29AC63DD"/>
    <w:rsid w:val="29AE7AF9"/>
    <w:rsid w:val="29AF70E8"/>
    <w:rsid w:val="29BD1AEA"/>
    <w:rsid w:val="2A61691A"/>
    <w:rsid w:val="2B57544C"/>
    <w:rsid w:val="2C155C0E"/>
    <w:rsid w:val="2D911329"/>
    <w:rsid w:val="2F583483"/>
    <w:rsid w:val="302A5A00"/>
    <w:rsid w:val="308736B2"/>
    <w:rsid w:val="30D42A97"/>
    <w:rsid w:val="348E47AF"/>
    <w:rsid w:val="34CE54F3"/>
    <w:rsid w:val="36F668C1"/>
    <w:rsid w:val="37052D23"/>
    <w:rsid w:val="37CD1A92"/>
    <w:rsid w:val="39CF31FF"/>
    <w:rsid w:val="3A3A781B"/>
    <w:rsid w:val="3AE96BE3"/>
    <w:rsid w:val="3B621836"/>
    <w:rsid w:val="3BD244C9"/>
    <w:rsid w:val="3D1F64DB"/>
    <w:rsid w:val="3F6B68AB"/>
    <w:rsid w:val="3F9115F7"/>
    <w:rsid w:val="3FDF6479"/>
    <w:rsid w:val="3FE011BF"/>
    <w:rsid w:val="414D59F2"/>
    <w:rsid w:val="4179244B"/>
    <w:rsid w:val="41BD2B78"/>
    <w:rsid w:val="424741EF"/>
    <w:rsid w:val="42F836EC"/>
    <w:rsid w:val="435C36E9"/>
    <w:rsid w:val="44763954"/>
    <w:rsid w:val="44C67F95"/>
    <w:rsid w:val="46115240"/>
    <w:rsid w:val="48815A8A"/>
    <w:rsid w:val="49494CF1"/>
    <w:rsid w:val="49D3756C"/>
    <w:rsid w:val="4AB20F2B"/>
    <w:rsid w:val="4AD52CE0"/>
    <w:rsid w:val="4B375749"/>
    <w:rsid w:val="4C143394"/>
    <w:rsid w:val="4C312198"/>
    <w:rsid w:val="4D0553D3"/>
    <w:rsid w:val="4D7C5695"/>
    <w:rsid w:val="4EF120B3"/>
    <w:rsid w:val="4F1D2EA8"/>
    <w:rsid w:val="51890380"/>
    <w:rsid w:val="52CA29FF"/>
    <w:rsid w:val="53777C3B"/>
    <w:rsid w:val="54B95421"/>
    <w:rsid w:val="562A6410"/>
    <w:rsid w:val="569C07CA"/>
    <w:rsid w:val="574014E1"/>
    <w:rsid w:val="582C5F09"/>
    <w:rsid w:val="586456A3"/>
    <w:rsid w:val="58FC3B2E"/>
    <w:rsid w:val="59B239DD"/>
    <w:rsid w:val="5DCD5A99"/>
    <w:rsid w:val="5FB94527"/>
    <w:rsid w:val="6017124D"/>
    <w:rsid w:val="606E3563"/>
    <w:rsid w:val="61605860"/>
    <w:rsid w:val="624C6FD2"/>
    <w:rsid w:val="62957C63"/>
    <w:rsid w:val="64BB489D"/>
    <w:rsid w:val="64D4595F"/>
    <w:rsid w:val="65501489"/>
    <w:rsid w:val="65A240F5"/>
    <w:rsid w:val="67F0485E"/>
    <w:rsid w:val="67FC1454"/>
    <w:rsid w:val="68E40DA4"/>
    <w:rsid w:val="695104D6"/>
    <w:rsid w:val="69BD4C13"/>
    <w:rsid w:val="6A0568FD"/>
    <w:rsid w:val="6E4C0C5C"/>
    <w:rsid w:val="6F9E54E7"/>
    <w:rsid w:val="7064228D"/>
    <w:rsid w:val="708741CD"/>
    <w:rsid w:val="713D4BEE"/>
    <w:rsid w:val="72640322"/>
    <w:rsid w:val="729776C6"/>
    <w:rsid w:val="72AB51F8"/>
    <w:rsid w:val="730613D9"/>
    <w:rsid w:val="73B9469D"/>
    <w:rsid w:val="74A76BEC"/>
    <w:rsid w:val="76FB321F"/>
    <w:rsid w:val="771816DB"/>
    <w:rsid w:val="773D7394"/>
    <w:rsid w:val="7746449A"/>
    <w:rsid w:val="788039DC"/>
    <w:rsid w:val="793637B5"/>
    <w:rsid w:val="79382508"/>
    <w:rsid w:val="7BA04F63"/>
    <w:rsid w:val="7C971C54"/>
    <w:rsid w:val="7CB43C54"/>
    <w:rsid w:val="7E1B7046"/>
    <w:rsid w:val="7F533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Plain Text"/>
    <w:basedOn w:val="1"/>
    <w:semiHidden/>
    <w:unhideWhenUsed/>
    <w:qFormat/>
    <w:uiPriority w:val="99"/>
    <w:rPr>
      <w:rFonts w:ascii="宋体" w:hAnsi="Courier New" w:cs="Courier New"/>
    </w:rPr>
  </w:style>
  <w:style w:type="paragraph" w:styleId="4">
    <w:name w:val="footer"/>
    <w:basedOn w:val="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table" w:styleId="6">
    <w:name w:val="Table Grid"/>
    <w:basedOn w:val="5"/>
    <w:unhideWhenUsed/>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纯文本1"/>
    <w:basedOn w:val="1"/>
    <w:qFormat/>
    <w:uiPriority w:val="0"/>
    <w:rPr>
      <w:rFonts w:ascii="宋体" w:hAnsi="Courier New" w:cs="Courier New"/>
    </w:rPr>
  </w:style>
  <w:style w:type="character" w:customStyle="1" w:styleId="9">
    <w:name w:val="font31"/>
    <w:basedOn w:val="7"/>
    <w:uiPriority w:val="0"/>
    <w:rPr>
      <w:rFonts w:hint="eastAsia" w:ascii="宋体" w:hAnsi="宋体" w:eastAsia="宋体" w:cs="宋体"/>
      <w:b/>
      <w:bCs/>
      <w:color w:val="000000"/>
      <w:sz w:val="24"/>
      <w:szCs w:val="24"/>
      <w:u w:val="none"/>
    </w:rPr>
  </w:style>
  <w:style w:type="character" w:customStyle="1" w:styleId="10">
    <w:name w:val="font61"/>
    <w:basedOn w:val="7"/>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4476</Words>
  <Characters>5039</Characters>
  <Lines>0</Lines>
  <Paragraphs>0</Paragraphs>
  <TotalTime>3</TotalTime>
  <ScaleCrop>false</ScaleCrop>
  <LinksUpToDate>false</LinksUpToDate>
  <CharactersWithSpaces>5468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2024-03-27T06:52:00Z</dcterms:created>
  <dc:creator>高路</dc:creator>
  <cp:lastModifiedBy>王U欢</cp:lastModifiedBy>
  <dcterms:modified xsi:type="dcterms:W3CDTF">2026-10-10T01:41:56Z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3DFCB3BF603B48879A2F2AA24A5F6AA3_13</vt:lpwstr>
  </property>
  <property fmtid="{D5CDD505-2E9C-101B-9397-08002B2CF9AE}" pid="4" name="KSOTemplateDocerSaveRecord">
    <vt:lpwstr>eyJoZGlkIjoiNzE4NDE0OTQ5NTQxMDNjM2U0MTJmZThkYTFhYjY4MjIiLCJ1c2VySWQiOiI1NzU1NDk3NDkifQ==</vt:lpwstr>
  </property>
</Properties>
</file>