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440"/>
        <w:ind w:right="0" w:left="0" w:firstLine="2600"/>
        <w:jc w:val="both"/>
        <w:rPr>
          <w:rFonts w:ascii="宋体" w:hAnsi="宋体" w:cs="宋体" w:eastAsia="宋体"/>
          <w:color w:val="auto"/>
          <w:spacing w:val="40"/>
          <w:position w:val="0"/>
          <w:sz w:val="44"/>
          <w:shd w:fill="auto" w:val="clear"/>
        </w:rPr>
      </w:pPr>
      <w:r>
        <w:rPr>
          <w:rFonts w:ascii="宋体" w:hAnsi="宋体" w:cs="宋体" w:eastAsia="宋体"/>
          <w:color w:val="auto"/>
          <w:spacing w:val="40"/>
          <w:position w:val="0"/>
          <w:sz w:val="44"/>
          <w:shd w:fill="auto" w:val="clear"/>
        </w:rPr>
        <w:t xml:space="preserve">施工图审查意见表</w:t>
      </w:r>
    </w:p>
    <w:p>
      <w:pPr>
        <w:spacing w:before="0" w:after="0" w:line="440"/>
        <w:ind w:right="0" w:left="0" w:firstLine="360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（结构）专业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报告编号：                                                  </w:t>
      </w:r>
      <w:r>
        <w:rPr>
          <w:rFonts w:ascii="宋体" w:hAnsi="宋体" w:cs="宋体" w:eastAsia="宋体"/>
          <w:color w:val="auto"/>
          <w:spacing w:val="-4"/>
          <w:position w:val="0"/>
          <w:sz w:val="24"/>
          <w:shd w:fill="auto" w:val="clear"/>
        </w:rPr>
        <w:t xml:space="preserve">项目编号：</w:t>
      </w:r>
    </w:p>
    <w:tbl>
      <w:tblPr/>
      <w:tblGrid>
        <w:gridCol w:w="644"/>
        <w:gridCol w:w="854"/>
        <w:gridCol w:w="590"/>
        <w:gridCol w:w="2273"/>
        <w:gridCol w:w="883"/>
        <w:gridCol w:w="1214"/>
        <w:gridCol w:w="406"/>
        <w:gridCol w:w="1153"/>
        <w:gridCol w:w="832"/>
        <w:gridCol w:w="1080"/>
        <w:gridCol w:w="612"/>
      </w:tblGrid>
      <w:tr>
        <w:trPr>
          <w:trHeight w:val="1" w:hRule="atLeast"/>
          <w:jc w:val="left"/>
        </w:trPr>
        <w:tc>
          <w:tcPr>
            <w:tcW w:w="1498" w:type="dxa"/>
            <w:gridSpan w:val="2"/>
            <w:tcBorders>
              <w:top w:val="single" w:color="000000" w:sz="12"/>
              <w:left w:val="single" w:color="000000" w:sz="12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50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工程项目</w:t>
            </w:r>
          </w:p>
        </w:tc>
        <w:tc>
          <w:tcPr>
            <w:tcW w:w="3746" w:type="dxa"/>
            <w:gridSpan w:val="3"/>
            <w:tcBorders>
              <w:top w:val="single" w:color="000000" w:sz="12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widowControl w:val="fals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1"/>
                <w:shd w:fill="auto" w:val="clear"/>
              </w:rPr>
              <w:t xml:space="preserve"> </w:t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叙永县两河口景观改造工程</w:t>
            </w:r>
          </w:p>
        </w:tc>
        <w:tc>
          <w:tcPr>
            <w:tcW w:w="1620" w:type="dxa"/>
            <w:gridSpan w:val="2"/>
            <w:tcBorders>
              <w:top w:val="single" w:color="000000" w:sz="12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子项名称</w:t>
            </w:r>
          </w:p>
        </w:tc>
        <w:tc>
          <w:tcPr>
            <w:tcW w:w="3677" w:type="dxa"/>
            <w:gridSpan w:val="4"/>
            <w:tcBorders>
              <w:top w:val="single" w:color="000000" w:sz="12"/>
              <w:left w:val="single" w:color="000000" w:sz="4"/>
              <w:bottom w:val="single" w:color="000000" w:sz="4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栈道、步道</w:t>
            </w:r>
          </w:p>
        </w:tc>
      </w:tr>
      <w:tr>
        <w:trPr>
          <w:trHeight w:val="721" w:hRule="auto"/>
          <w:jc w:val="left"/>
        </w:trPr>
        <w:tc>
          <w:tcPr>
            <w:tcW w:w="644" w:type="dxa"/>
            <w:vMerge w:val="restart"/>
            <w:tcBorders>
              <w:top w:val="single" w:color="000000" w:sz="4"/>
              <w:left w:val="single" w:color="000000" w:sz="12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审</w:t>
            </w:r>
          </w:p>
          <w:p>
            <w:pPr>
              <w:spacing w:before="0" w:after="0" w:line="4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4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查</w:t>
            </w:r>
          </w:p>
          <w:p>
            <w:pPr>
              <w:spacing w:before="0" w:after="0" w:line="4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4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意</w:t>
            </w:r>
          </w:p>
          <w:p>
            <w:pPr>
              <w:spacing w:before="0" w:after="0" w:line="4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4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见</w:t>
            </w:r>
          </w:p>
        </w:tc>
        <w:tc>
          <w:tcPr>
            <w:tcW w:w="9897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12"/>
              <w:ind w:right="0" w:left="0" w:firstLine="0"/>
              <w:jc w:val="both"/>
              <w:rPr>
                <w:rFonts w:ascii="黑体" w:hAnsi="黑体" w:cs="黑体" w:eastAsia="黑体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黑体" w:hAnsi="黑体" w:cs="黑体" w:eastAsia="黑体"/>
                <w:color w:val="auto"/>
                <w:spacing w:val="0"/>
                <w:position w:val="0"/>
                <w:sz w:val="21"/>
                <w:shd w:fill="auto" w:val="clear"/>
              </w:rPr>
              <w:t xml:space="preserve">本专</w:t>
            </w:r>
            <w:r>
              <w:rPr>
                <w:rFonts w:ascii="黑体" w:hAnsi="黑体" w:cs="黑体" w:eastAsia="黑体"/>
                <w:color w:val="auto"/>
                <w:spacing w:val="0"/>
                <w:position w:val="0"/>
                <w:sz w:val="24"/>
                <w:shd w:fill="auto" w:val="clear"/>
              </w:rPr>
              <w:t xml:space="preserve">业工程概况与基本评价：</w:t>
            </w:r>
          </w:p>
          <w:p>
            <w:pPr>
              <w:spacing w:before="0" w:after="0" w:line="240"/>
              <w:ind w:right="0" w:left="0" w:firstLine="480"/>
              <w:jc w:val="both"/>
              <w:rPr>
                <w:rFonts w:ascii="宋体" w:hAnsi="宋体" w:cs="宋体" w:eastAsia="宋体"/>
                <w:color w:val="000000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宋体" w:hAnsi="宋体" w:cs="宋体" w:eastAsia="宋体"/>
                <w:color w:val="000000"/>
                <w:spacing w:val="0"/>
                <w:position w:val="0"/>
                <w:sz w:val="21"/>
                <w:shd w:fill="auto" w:val="clear"/>
              </w:rPr>
              <w:t xml:space="preserve">本工程为</w:t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叙永县东门河、南门河片区老旧街区改造项目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1"/>
                <w:shd w:fill="auto" w:val="clear"/>
              </w:rPr>
              <w:t xml:space="preserve">(</w:t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一期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1"/>
                <w:shd w:fill="auto" w:val="clear"/>
              </w:rPr>
              <w:t xml:space="preserve">),</w:t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景观工程栈道、步道</w:t>
            </w:r>
            <w:r>
              <w:rPr>
                <w:rFonts w:ascii="宋体" w:hAnsi="宋体" w:cs="宋体" w:eastAsia="宋体"/>
                <w:color w:val="000000"/>
                <w:spacing w:val="0"/>
                <w:position w:val="0"/>
                <w:sz w:val="21"/>
                <w:shd w:fill="auto" w:val="clear"/>
              </w:rPr>
              <w:t xml:space="preserve">。</w:t>
            </w:r>
          </w:p>
          <w:p>
            <w:pPr>
              <w:spacing w:before="0" w:after="0" w:line="240"/>
              <w:ind w:right="0" w:left="0" w:firstLine="480"/>
              <w:jc w:val="both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593" w:hRule="auto"/>
          <w:jc w:val="left"/>
        </w:trPr>
        <w:tc>
          <w:tcPr>
            <w:tcW w:w="644" w:type="dxa"/>
            <w:vMerge/>
            <w:tcBorders>
              <w:top w:val="single" w:color="000000" w:sz="4"/>
              <w:left w:val="single" w:color="000000" w:sz="12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97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0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勘察设计执行工程建设标准强制性条文及涉及安全、公众利益等方面存在的主要问题：</w:t>
            </w:r>
          </w:p>
          <w:p>
            <w:pPr>
              <w:numPr>
                <w:ilvl w:val="0"/>
                <w:numId w:val="18"/>
              </w:numPr>
              <w:spacing w:before="0" w:after="120" w:line="240"/>
              <w:ind w:right="0" w:left="425" w:hanging="425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由主专业确定防火等级，如需防火须进行抗火计算并采取防火保护措施。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1"/>
                <w:shd w:fill="auto" w:val="clear"/>
              </w:rPr>
              <w:br/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回复：室外已取消防火设计。</w:t>
            </w:r>
          </w:p>
          <w:p>
            <w:pPr>
              <w:numPr>
                <w:ilvl w:val="0"/>
                <w:numId w:val="18"/>
              </w:numPr>
              <w:spacing w:before="0" w:after="120" w:line="240"/>
              <w:ind w:right="0" w:left="425" w:hanging="425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人行荷载建议取荷载规范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1"/>
                <w:shd w:fill="auto" w:val="clear"/>
              </w:rPr>
              <w:t xml:space="preserve">3.5kN/m2</w:t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、或按路桥规范取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1"/>
                <w:shd w:fill="auto" w:val="clear"/>
              </w:rPr>
              <w:t xml:space="preserve">5kN/m2</w:t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1"/>
                <w:shd w:fill="auto" w:val="clear"/>
              </w:rPr>
              <w:br/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回复：已按审图意见修改为3.5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1"/>
                <w:shd w:fill="auto" w:val="clear"/>
              </w:rPr>
              <w:t xml:space="preserve">kN/m2</w:t>
            </w:r>
          </w:p>
          <w:p>
            <w:pPr>
              <w:numPr>
                <w:ilvl w:val="0"/>
                <w:numId w:val="18"/>
              </w:numPr>
              <w:spacing w:before="0" w:after="120" w:line="240"/>
              <w:ind w:right="0" w:left="425" w:hanging="425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楼盖按实际修改为单向导荷。</w:t>
            </w:r>
          </w:p>
          <w:p>
            <w:pPr>
              <w:spacing w:before="0" w:after="12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   回复：已按单向荷载传递计算，程序对于不规则不能自动单向传导。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1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1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1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1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90" w:hRule="auto"/>
          <w:jc w:val="left"/>
        </w:trPr>
        <w:tc>
          <w:tcPr>
            <w:tcW w:w="644" w:type="dxa"/>
            <w:vMerge/>
            <w:tcBorders>
              <w:top w:val="single" w:color="000000" w:sz="4"/>
              <w:left w:val="single" w:color="000000" w:sz="12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97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2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建议：</w:t>
            </w:r>
          </w:p>
          <w:p>
            <w:pPr>
              <w:spacing w:before="0" w:after="0" w:line="32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862" w:hRule="auto"/>
          <w:jc w:val="left"/>
        </w:trPr>
        <w:tc>
          <w:tcPr>
            <w:tcW w:w="644" w:type="dxa"/>
            <w:vMerge/>
            <w:tcBorders>
              <w:top w:val="single" w:color="000000" w:sz="4"/>
              <w:left w:val="single" w:color="000000" w:sz="12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97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88"/>
              <w:ind w:right="0" w:left="0" w:firstLine="0"/>
              <w:jc w:val="both"/>
              <w:rPr>
                <w:rFonts w:ascii="黑体" w:hAnsi="黑体" w:cs="黑体" w:eastAsia="黑体"/>
                <w:color w:val="auto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黑体" w:hAnsi="黑体" w:cs="黑体" w:eastAsia="黑体"/>
                <w:color w:val="auto"/>
                <w:spacing w:val="0"/>
                <w:position w:val="0"/>
                <w:sz w:val="21"/>
                <w:shd w:fill="auto" w:val="clear"/>
              </w:rPr>
              <w:t xml:space="preserve">执行国家工程建设消防技术标准存在的问题：</w:t>
            </w:r>
          </w:p>
          <w:p>
            <w:pPr>
              <w:spacing w:before="0" w:after="0" w:line="288"/>
              <w:ind w:right="0" w:left="0" w:firstLine="0"/>
              <w:jc w:val="both"/>
              <w:rPr>
                <w:rFonts w:ascii="黑体" w:hAnsi="黑体" w:cs="黑体" w:eastAsia="黑体"/>
                <w:color w:val="auto"/>
                <w:spacing w:val="0"/>
                <w:position w:val="0"/>
                <w:sz w:val="21"/>
                <w:shd w:fill="auto" w:val="clear"/>
              </w:rPr>
            </w:pPr>
          </w:p>
          <w:p>
            <w:pPr>
              <w:spacing w:before="0" w:after="0" w:line="32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黑体" w:hAnsi="黑体" w:cs="黑体" w:eastAsia="黑体"/>
                <w:color w:val="auto"/>
                <w:spacing w:val="0"/>
                <w:position w:val="0"/>
                <w:sz w:val="21"/>
                <w:shd w:fill="auto" w:val="clear"/>
              </w:rPr>
              <w:t xml:space="preserve">消防技术审查结论：合格  不合格</w:t>
            </w:r>
          </w:p>
        </w:tc>
      </w:tr>
      <w:tr>
        <w:trPr>
          <w:trHeight w:val="620" w:hRule="auto"/>
          <w:jc w:val="left"/>
        </w:trPr>
        <w:tc>
          <w:tcPr>
            <w:tcW w:w="2088" w:type="dxa"/>
            <w:gridSpan w:val="3"/>
            <w:tcBorders>
              <w:top w:val="single" w:color="000000" w:sz="4"/>
              <w:left w:val="single" w:color="000000" w:sz="12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审查结论</w:t>
            </w:r>
          </w:p>
        </w:tc>
        <w:tc>
          <w:tcPr>
            <w:tcW w:w="22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合格   不合格</w:t>
            </w:r>
          </w:p>
        </w:tc>
        <w:tc>
          <w:tcPr>
            <w:tcW w:w="4488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是否含绿色建筑设计 </w:t>
            </w:r>
            <w:r>
              <w:rPr>
                <w:rFonts w:ascii="宋体" w:hAnsi="宋体" w:cs="宋体" w:eastAsia="宋体"/>
                <w:color w:val="auto"/>
                <w:spacing w:val="-8"/>
                <w:position w:val="0"/>
                <w:sz w:val="24"/>
                <w:shd w:fill="auto" w:val="clear"/>
              </w:rPr>
              <w:t xml:space="preserve">是</w:t>
            </w:r>
            <w:r>
              <w:rPr>
                <w:rFonts w:ascii="宋体" w:hAnsi="宋体" w:cs="宋体" w:eastAsia="宋体"/>
                <w:color w:val="auto"/>
                <w:spacing w:val="-8"/>
                <w:position w:val="0"/>
                <w:sz w:val="26"/>
                <w:shd w:fill="auto" w:val="clear"/>
              </w:rPr>
              <w:t xml:space="preserve">否</w:t>
            </w:r>
          </w:p>
        </w:tc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18"/>
                <w:shd w:fill="auto" w:val="clear"/>
              </w:rPr>
              <w:t xml:space="preserve">违反强制性条文数</w:t>
            </w:r>
          </w:p>
        </w:tc>
        <w:tc>
          <w:tcPr>
            <w:tcW w:w="61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20" w:hRule="auto"/>
          <w:jc w:val="left"/>
        </w:trPr>
        <w:tc>
          <w:tcPr>
            <w:tcW w:w="2088" w:type="dxa"/>
            <w:gridSpan w:val="3"/>
            <w:tcBorders>
              <w:top w:val="single" w:color="000000" w:sz="4"/>
              <w:left w:val="single" w:color="000000" w:sz="12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处理意见</w:t>
            </w:r>
          </w:p>
        </w:tc>
        <w:tc>
          <w:tcPr>
            <w:tcW w:w="6761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不修改   一般修改  重大修改   重新设计</w:t>
            </w:r>
          </w:p>
        </w:tc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18"/>
                <w:shd w:fill="auto" w:val="clear"/>
              </w:rPr>
              <w:t xml:space="preserve">是否复审</w:t>
            </w:r>
          </w:p>
        </w:tc>
        <w:tc>
          <w:tcPr>
            <w:tcW w:w="61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否</w:t>
            </w:r>
          </w:p>
        </w:tc>
      </w:tr>
      <w:tr>
        <w:trPr>
          <w:trHeight w:val="768" w:hRule="auto"/>
          <w:jc w:val="left"/>
        </w:trPr>
        <w:tc>
          <w:tcPr>
            <w:tcW w:w="2088" w:type="dxa"/>
            <w:gridSpan w:val="3"/>
            <w:tcBorders>
              <w:top w:val="single" w:color="000000" w:sz="4"/>
              <w:left w:val="single" w:color="000000" w:sz="12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审查人</w:t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(签字)</w:t>
            </w:r>
          </w:p>
        </w:tc>
        <w:tc>
          <w:tcPr>
            <w:tcW w:w="437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color="000000" w:sz="4"/>
              <w:left w:val="single" w:color="000000" w:sz="4"/>
              <w:bottom w:val="single" w:color="000000" w:sz="12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审查机构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（签 章）</w:t>
            </w:r>
          </w:p>
        </w:tc>
        <w:tc>
          <w:tcPr>
            <w:tcW w:w="2524" w:type="dxa"/>
            <w:gridSpan w:val="3"/>
            <w:vMerge w:val="restart"/>
            <w:tcBorders>
              <w:top w:val="single" w:color="000000" w:sz="4"/>
              <w:left w:val="single" w:color="000000" w:sz="4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right"/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right"/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right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      2026年5月22日</w:t>
            </w:r>
          </w:p>
        </w:tc>
      </w:tr>
      <w:tr>
        <w:trPr>
          <w:trHeight w:val="764" w:hRule="auto"/>
          <w:jc w:val="left"/>
        </w:trPr>
        <w:tc>
          <w:tcPr>
            <w:tcW w:w="2088" w:type="dxa"/>
            <w:gridSpan w:val="3"/>
            <w:tcBorders>
              <w:top w:val="single" w:color="000000" w:sz="4"/>
              <w:left w:val="single" w:color="000000" w:sz="12"/>
              <w:bottom w:val="single" w:color="000000" w:sz="12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审核人(</w:t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签字)</w:t>
            </w:r>
          </w:p>
        </w:tc>
        <w:tc>
          <w:tcPr>
            <w:tcW w:w="4370" w:type="dxa"/>
            <w:gridSpan w:val="3"/>
            <w:tcBorders>
              <w:top w:val="single" w:color="000000" w:sz="4"/>
              <w:left w:val="single" w:color="000000" w:sz="4"/>
              <w:bottom w:val="single" w:color="000000" w:sz="12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color="000000" w:sz="4"/>
              <w:left w:val="single" w:color="000000" w:sz="4"/>
              <w:bottom w:val="single" w:color="000000" w:sz="12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4" w:type="dxa"/>
            <w:gridSpan w:val="3"/>
            <w:vMerge/>
            <w:tcBorders>
              <w:top w:val="single" w:color="000000" w:sz="4"/>
              <w:left w:val="single" w:color="000000" w:sz="4"/>
              <w:bottom w:val="single" w:color="000000" w:sz="12"/>
              <w:right w:val="single" w:color="000000" w:sz="12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1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18"/>
          <w:shd w:fill="auto" w:val="clear"/>
        </w:rPr>
        <w:t xml:space="preserve">注：1、结构、桥梁、隧道专业应有审查人及审核人签字；其他专业可不签审核人。</w:t>
      </w:r>
    </w:p>
    <w:p>
      <w:pPr>
        <w:spacing w:before="0" w:after="0" w:line="240"/>
        <w:ind w:right="0" w:left="0" w:firstLine="396"/>
        <w:jc w:val="both"/>
        <w:rPr>
          <w:rFonts w:ascii="宋体" w:hAnsi="宋体" w:cs="宋体" w:eastAsia="宋体"/>
          <w:color w:val="auto"/>
          <w:spacing w:val="0"/>
          <w:position w:val="0"/>
          <w:sz w:val="1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18"/>
          <w:shd w:fill="auto" w:val="clear"/>
        </w:rPr>
        <w:t xml:space="preserve">2、凡违反强制性条文，请在该条前面加“●”作标识。</w:t>
      </w:r>
    </w:p>
    <w:p>
      <w:pPr>
        <w:spacing w:before="0" w:after="0" w:line="240"/>
        <w:ind w:right="0" w:left="0" w:firstLine="396"/>
        <w:jc w:val="both"/>
        <w:rPr>
          <w:rFonts w:ascii="宋体" w:hAnsi="宋体" w:cs="宋体" w:eastAsia="宋体"/>
          <w:color w:val="auto"/>
          <w:spacing w:val="40"/>
          <w:position w:val="0"/>
          <w:sz w:val="4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18"/>
          <w:shd w:fill="auto" w:val="clear"/>
        </w:rPr>
        <w:t xml:space="preserve">3、在审查结论和处理意见在方形内打“√”，如√。                    第 1 次审查  共 1 页  第 1 页</w:t>
      </w:r>
    </w:p>
  </w:body>
</w:document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</w:lvl>
  </w:abstractNum>
  <w:num w:numId="18">
    <w:abstractNumId w:val="1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